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GAPFöVOFT (Nordrhein-Westfalen) — Anwendbarkeit von Vorschriften der GAPInVeKoS-Verordnungim Zusammenhang mit dem Zahlungsantrag im Sammelantrag</w:t>
      </w:r>
    </w:p>
    <w:p>
      <w:r>
        <w:rPr>
          <w:color w:val="555555"/>
          <w:sz w:val="18"/>
        </w:rPr>
        <w:t xml:space="preserve">GAP-Förderverordnung NRW Fläche und Tier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Zahlungsantrag im Sammelantrag gelten die folgenden Regelungen der GAPInVeKoS-Verordnung jeweils entsprechend:</w:t>
      </w:r>
    </w:p>
    <w:p>
      <w:r>
        <w:t xml:space="preserve">1. in Bezug auf Änderungen des Zahlungsantrags § 22 Absatz 1 und 2 der GAPInVeKoS-Verordnung,</w:t>
      </w:r>
    </w:p>
    <w:p>
      <w:r>
        <w:t xml:space="preserve">2. in Bezug auf die Berichtigung offensichtlicher Irrtümer § 23 der GAPInVeKoS-Verordnung.</w:t>
      </w:r>
    </w:p>
    <w:p>
      <w:r>
        <w:rPr>
          <w:color w:val="555555"/>
          <w:sz w:val="17"/>
        </w:rPr>
        <w:t xml:space="preserve">Zitiervorschlag: § 13 GAPFöVOFT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https://recht.nulegal.eu/gesetze/GAPF%C3%B6VOFT/13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