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GAPFöVOFT (Nordrhein-Westfalen) — Anwendungsbereich</w:t>
      </w:r>
    </w:p>
    <w:p>
      <w:r>
        <w:rPr>
          <w:color w:val="555555"/>
          <w:sz w:val="18"/>
        </w:rPr>
        <w:t xml:space="preserve">GAP-Förderverordnung NRW Fläche und Tier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dient der Durchführung des GAP-Fördergesetzes NRW vom 5. März 2024 (GV. NRW. S. 156)in der jeweils geltenden Fassung und der in § 1 des GAP-Fördergesetzes NRW genannten Regelungen der Europäischen Union, soweit diese sich auf flächen- und tierbezogene Interventionen nach den Artikeln 70 bis 72 der Verordnung (EU) 2021/2115 des Europäischen Parlaments und des Rates vom 2. Dezember 2021 mit Vorschriften für die Unterstützung der von den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(ABl. L 435 vom 6.12.2021, S. 1; L 181 vom 7.7.2022, S. 35; L 227 vom 1.9.2022, S. 137), in der jeweils geltenden Fassung, beziehen.</w:t>
      </w:r>
    </w:p>
    <w:p>
      <w:r>
        <w:rPr>
          <w:color w:val="555555"/>
          <w:sz w:val="17"/>
        </w:rPr>
        <w:t xml:space="preserve">Zitiervorschlag: § 1 GAPFöVOFT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https://recht.nulegal.eu/gesetze/GAPF%C3%B6VOFT/1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