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GAPDZV — Ackerland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Begriff Ackerland umfasst Flächen, die</w:t>
      </w:r>
    </w:p>
    <w:p>
      <w:pPr>
        <w:ind w:left="420"/>
      </w:pPr>
      <w:r>
        <w:t xml:space="preserve">1. für den Anbau landwirtschaftlicher Kulturpflanzen genutzt werden oder</w:t>
      </w:r>
    </w:p>
    <w:p>
      <w:pPr>
        <w:ind w:left="420"/>
      </w:pPr>
      <w:r>
        <w:t xml:space="preserve">2. für den Anbau landwirtschaftlicher Kulturpflanzen verfügbar sind, aber brachliegen.</w:t>
      </w:r>
    </w:p>
    <w:p>
      <w:r>
        <w:t xml:space="preserve">(2) Für die Laufzeit der entsprechenden Verpflichtung gehört zum Ackerland auch eine stillgelegte Fläche,</w:t>
      </w:r>
    </w:p>
    <w:p>
      <w:pPr>
        <w:ind w:left="420"/>
      </w:pPr>
      <w:r>
        <w:t xml:space="preserve">1. die zum Zeitpunkt der Stilllegung die Voraussetzungen des Absatzes 1 für Ackerland erfüllt hat und</w:t>
      </w:r>
    </w:p>
    <w:p>
      <w:pPr>
        <w:ind w:left="420"/>
      </w:pPr>
      <w:r>
        <w:t xml:space="preserve">2. die stillgelegt worden ist</w:t>
      </w:r>
    </w:p>
    <w:p>
      <w:pPr>
        <w:ind w:left="780"/>
      </w:pPr>
      <w:r>
        <w:t xml:space="preserve">a) nach dem GLÖZ-Standard des § 11 des GAP-Konditionalitäten-Gesetzes,</w:t>
      </w:r>
    </w:p>
    <w:p>
      <w:pPr>
        <w:ind w:left="780"/>
      </w:pPr>
      <w:r>
        <w:t xml:space="preserve">b) nach der Öko-Regelung nach § 20 Absatz 1 Nummer 1 Buchstabe a des GAP-Direktzahlungen-Gesetzes,</w:t>
      </w:r>
    </w:p>
    <w:p>
      <w:pPr>
        <w:ind w:left="780"/>
      </w:pPr>
      <w:r>
        <w:t xml:space="preserve">c) im Rahmen einer Agrarumweltmaßnahme nach den Artikeln 22 bis 24 der Verordnung (EG) Nr. 1257/1999 in der für den Zeitpunkt der Stilllegung geltenden Fassung,</w:t>
      </w:r>
    </w:p>
    <w:p>
      <w:pPr>
        <w:ind w:left="780"/>
      </w:pPr>
      <w:r>
        <w:t xml:space="preserve">d) im Rahmen einer Agrarumweltmaßnahme nach Artikel 39 der Verordnung (EG) Nr. 1698/2005 in der für den Zeitpunkt der Stilllegung geltenden Fassung,</w:t>
      </w:r>
    </w:p>
    <w:p>
      <w:pPr>
        <w:ind w:left="780"/>
      </w:pPr>
      <w:r>
        <w:t xml:space="preserve">e) im Rahmen einer Agrarumwelt- und Klimamaßnahme nach Artikel 28 der Verordnung (EU) Nr. 1305/2013 in der für den Zeitpunkt der Stilllegung geltenden Fassung oder</w:t>
      </w:r>
    </w:p>
    <w:p>
      <w:pPr>
        <w:ind w:left="780"/>
      </w:pPr>
      <w:r>
        <w:t xml:space="preserve">f) im Rahmen einer freiwilligen Umwelt-, Klima- oder anderen Bewirtschaftungsverpflichtung nach der ELER-Regelung.</w:t>
      </w:r>
    </w:p>
    <w:p>
      <w:r>
        <w:t xml:space="preserve">(3) Ein begrünter Randstreifen einer Ackerlandfläche, der von untergeordneter Bedeutung ist, ist Ackerland. Eine untergeordnete Bedeutung liegt bei einer Breite von mehr als 15 Metern nicht vor.</w:t>
      </w:r>
    </w:p>
    <w:p>
      <w:r>
        <w:rPr>
          <w:color w:val="555555"/>
          <w:sz w:val="17"/>
        </w:rPr>
        <w:t xml:space="preserve">Zitiervorschlag: § 5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