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GAPDZV — Landwirtschaftliche Fläche</w:t>
      </w:r>
    </w:p>
    <w:p>
      <w:r>
        <w:rPr>
          <w:color w:val="555555"/>
          <w:sz w:val="18"/>
        </w:rPr>
        <w:t xml:space="preserve">GAP-Direktzahlungen-Verordnung</w:t>
      </w:r>
    </w:p>
    <w:p>
      <w:r>
        <w:rPr>
          <w:color w:val="555555"/>
          <w:sz w:val="18"/>
        </w:rPr>
        <w:t xml:space="preserve">Stand: 01.01.2025 (konsolidierte Textfassung, kein amtliches Inkrafttretensdatum)</w:t>
      </w:r>
    </w:p>
    <w:p>
      <w:r>
        <w:t xml:space="preserve">(1) Der Begriff landwirtschaftliche Fläche umfasst Ackerland, Dauerkulturen und Dauergrünland, und das auch, wenn diese auf der betreffenden Fläche ein Agroforstsystem nach Absatz 2 bilden.</w:t>
      </w:r>
    </w:p>
    <w:p>
      <w:r>
        <w:t xml:space="preserve">(2) Ein Agroforstsystem auf Ackerland, in Dauerkulturen oder auf Dauergrünland liegt vor, wenn auf einer Fläche mit dem vorrangigen Ziel der Rohstoffgewinnung oder Nahrungsmittelproduktion Gehölzpflanzen, die nicht in Anlage 1 aufgeführt sind, angebaut werden:</w:t>
      </w:r>
    </w:p>
    <w:p>
      <w:pPr>
        <w:ind w:left="420"/>
      </w:pPr>
      <w:r>
        <w:t xml:space="preserve">1. in mindestens zwei Streifen, die höchstens 40 Prozent der jeweiligen landwirtschaftlichen Fläche einnehmen, oder</w:t>
      </w:r>
    </w:p>
    <w:p>
      <w:pPr>
        <w:ind w:left="420"/>
      </w:pPr>
      <w:r>
        <w:t xml:space="preserve">2. verstreut über die Fläche in einer Zahl von mindestens 50 und höchstens 200 solcher Gehölzpflanzen je Hektar.</w:t>
      </w:r>
    </w:p>
    <w:p>
      <w:r>
        <w:t xml:space="preserve">(3) Kein Agroforstsystem oder kein Teil eines Agroforstsystems sind Flächen mit Gehölzpflanzen, die am 31. Dezember 2022 die an diesem Tag geltenden Voraussetzungen erfüllen für ein Landschaftselement, das nicht beseitigt werden darf, im Sinne</w:t>
      </w:r>
    </w:p>
    <w:p>
      <w:pPr>
        <w:ind w:left="420"/>
      </w:pPr>
      <w:r>
        <w:t xml:space="preserve">1. des § 8 Absatz 1 und 2 der Agrarzahlungen-Verpflichtungenverordnung vom 17. Dezember 2014 (BAnz AT 23.12.2014 V1) in der am 31. Dezember 2022 geltenden Fassung oder</w:t>
      </w:r>
    </w:p>
    <w:p>
      <w:pPr>
        <w:ind w:left="420"/>
      </w:pPr>
      <w:r>
        <w:t xml:space="preserve">2. einer am 31. Dezember 2022 geltenden Verordnung eines Landes, die auf Grund des § 8 Absatz 4 der Agrarzahlungen-Verpflichtungenverordnung erlassen worden ist.</w:t>
      </w:r>
    </w:p>
    <w:p>
      <w:r>
        <w:rPr>
          <w:color w:val="555555"/>
          <w:sz w:val="17"/>
        </w:rPr>
        <w:t xml:space="preserve">Zitiervorschlag: § 4 GAPDZV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