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GAPDZV — Inkrafttreten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§§ 1, 14 und 17 Absatz 3 bis 5 treten am Tag nach der Verkündung in Kraft.</w:t>
      </w:r>
    </w:p>
    <w:p>
      <w:r>
        <w:t xml:space="preserve">(2) Diese Verordnung tritt im Übrigen an dem Tag in Kraft, an dem das GAP-Direktzahlungen-Gesetz nach § 36 Absatz 2 Satz 1 des GAP-Direktzahlungen-Gesetzes in Kraft tritt. Das Bundesministerium für Ernährung und Landwirtschaft gibt den Tag des Inkrafttretens dieser Verordnung im Bundesgesetzblatt bekannt.</w:t>
      </w:r>
    </w:p>
    <w:p>
      <w:r>
        <w:rPr>
          <w:color w:val="555555"/>
          <w:sz w:val="17"/>
        </w:rPr>
        <w:t xml:space="preserve">Zitiervorschlag: § 29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