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GAPDZV — Berechnung von Restmitteln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(1) Kommt § 23 Absatz 9 Satz 2 zur Anwendung, wird der Wert der Differenz zwischen der jeweiligen indikativen Mittelzuweisung und dem Produkt der Multiplikation des vorläufigen Einheitsbetrags nach § 23 Absatz 9 Satz 2 mit der Anzahl der jeweiligen begünstigungsfähigen Einheiten berechnet.</w:t>
      </w:r>
    </w:p>
    <w:p>
      <w:r>
        <w:t xml:space="preserve">(2) Kommt § 23 Absatz 10 Satz 6 zur Anwendung, wird der Wert der Differenz zwischen der jeweiligen indikativen Mittelzuweisung und der Summe der Produkte der Multiplikation jedes vorläufigen Einheitsbetrags nach § 23 Absatz 10 Satz 6 mit der Anzahl der jeweiligen begünstigungsfähigen Einheiten berechnet.</w:t>
      </w:r>
    </w:p>
    <w:p>
      <w:r>
        <w:t xml:space="preserve">(3) Kommt § 23 Absatz 11 Satz 6 zur Anwendung, wird der Wert der Differenz zwischen der Summe der indikativen Mittelzuweisungen für alle Öko-Regelungen und der Summe der Produkte der Multiplikation jedes vorläufigen Einheitsbetrags nach § 23 Absatz 11 Satz 6 für eine Öko-Regelung mit der Anzahl der jeweiligen begünstigungsfähigen Einheiten berechnet.</w:t>
      </w:r>
    </w:p>
    <w:p>
      <w:r>
        <w:t xml:space="preserve">(4) Die Differenzwerte, die sich nach den Absätzen 1 bis 3 ergeben, werden addiert mit der Maßgabe, dass</w:t>
      </w:r>
    </w:p>
    <w:p>
      <w:pPr>
        <w:ind w:left="420"/>
      </w:pPr>
      <w:r>
        <w:t xml:space="preserve">1. ein Differenzwert im Fall der Umverteilungseinkommensstützung bis höchstens in Höhe von 2 Prozent der einschlägigen Zuweisung nach § 5 Absatz 2 des GAP-Direktzahlungen-Gesetzes berücksichtigt wird,</w:t>
      </w:r>
    </w:p>
    <w:p>
      <w:pPr>
        <w:ind w:left="420"/>
      </w:pPr>
      <w:r>
        <w:t xml:space="preserve">2. ein Differenzwert im Fall der Junglandwirte-Einkommensstützung nicht berücksichtigt wird,</w:t>
      </w:r>
    </w:p>
    <w:p>
      <w:pPr>
        <w:ind w:left="420"/>
      </w:pPr>
      <w:r>
        <w:t xml:space="preserve">3. ein Differenzwert im Fall der Öko-Regelungen der Jahre 2025 und 2026 bis jeweils höchstens in Höhe von 2 Prozent der einschlägigen Zuweisung nach § 5 Absatz 2 des GAP-Direktzahlungen-Gesetzes berücksichtigt wird,</w:t>
      </w:r>
    </w:p>
    <w:p>
      <w:pPr>
        <w:ind w:left="420"/>
      </w:pPr>
      <w:r>
        <w:t xml:space="preserve">4. ein Differenzwert im Fall der Öko-Regelungen des Jahres 2027 nicht berücksichtigt wird.</w:t>
      </w:r>
    </w:p>
    <w:p>
      <w:r>
        <w:t xml:space="preserve">Die sich nach Satz 1 ergebende Summe der zu berücksichtigenden Differenzwerte sind die Restmittel.</w:t>
      </w:r>
    </w:p>
    <w:p>
      <w:r>
        <w:rPr>
          <w:color w:val="555555"/>
          <w:sz w:val="17"/>
        </w:rPr>
        <w:t xml:space="preserve">Zitiervorschlag: § 24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