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GAPDZV — Grundsätze für die Berechnung der tatsächlichen Einheitsbeträge</w:t>
      </w:r>
    </w:p>
    <w:p>
      <w:r>
        <w:rPr>
          <w:color w:val="555555"/>
          <w:sz w:val="18"/>
        </w:rPr>
        <w:t xml:space="preserve">GAP-Direktzahlungen-Verordnung</w:t>
      </w:r>
    </w:p>
    <w:p>
      <w:r>
        <w:rPr>
          <w:color w:val="555555"/>
          <w:sz w:val="18"/>
        </w:rPr>
        <w:t xml:space="preserve">Stand: 08.12.2023 (konsolidierte Textfassung, kein amtliches Inkrafttretensdatum)</w:t>
      </w:r>
    </w:p>
    <w:p>
      <w:r>
        <w:t xml:space="preserve">(1) Die Berechnung der tatsächlichen Einheitsbeträge für die Direktzahlungen, die den Betriebsinhabern je Einheit zu gewähren sind, erfolgt für jedes Antragsjahr nach den Vorschriften dieses Teils.</w:t>
      </w:r>
    </w:p>
    <w:p>
      <w:r>
        <w:t xml:space="preserve">(2) Ziel des Berechnungsverfahrens ist es, im Rahmen der in § 1 genannten Unionsregelung</w:t>
      </w:r>
    </w:p>
    <w:p>
      <w:pPr>
        <w:ind w:left="420"/>
      </w:pPr>
      <w:r>
        <w:t xml:space="preserve">1. Mittel, die für die Direktzahlungen zur Verfügung stehen, soweit möglich auszuschöpfen und</w:t>
      </w:r>
    </w:p>
    <w:p>
      <w:pPr>
        <w:ind w:left="420"/>
      </w:pPr>
      <w:r>
        <w:t xml:space="preserve">2. möglichst zu vermeiden, dass tatsächliche Einheitsbeträge unterhalb der geplanten Mindesteinheitsbeträge oder im Fall der Öko-Regelungen unterhalb der geplanten Einheitsbeträge liegen.</w:t>
      </w:r>
    </w:p>
    <w:p>
      <w:r>
        <w:t xml:space="preserve">(3) Grundlagen der Berechnung der tatsächlichen Einheitsbeträge sind</w:t>
      </w:r>
    </w:p>
    <w:p>
      <w:pPr>
        <w:ind w:left="420"/>
      </w:pPr>
      <w:r>
        <w:t xml:space="preserve">1. die geplanten Einheitsbeträge für die Direktzahlungen, nämlich</w:t>
      </w:r>
    </w:p>
    <w:p>
      <w:pPr>
        <w:ind w:left="780"/>
      </w:pPr>
      <w:r>
        <w:t xml:space="preserve">a) die Einkommensgrundstützung,</w:t>
      </w:r>
    </w:p>
    <w:p>
      <w:pPr>
        <w:ind w:left="780"/>
      </w:pPr>
      <w:r>
        <w:t xml:space="preserve">b) die Umverteilungseinkommensstützung,</w:t>
      </w:r>
    </w:p>
    <w:p>
      <w:pPr>
        <w:ind w:left="780"/>
      </w:pPr>
      <w:r>
        <w:t xml:space="preserve">c) die Junglandwirte-Einkommensstützung,</w:t>
      </w:r>
    </w:p>
    <w:p>
      <w:pPr>
        <w:ind w:left="780"/>
      </w:pPr>
      <w:r>
        <w:t xml:space="preserve">d) jede Öko-Regelung,</w:t>
      </w:r>
    </w:p>
    <w:p>
      <w:pPr>
        <w:ind w:left="780"/>
      </w:pPr>
      <w:r>
        <w:t xml:space="preserve">e) die Zahlung für Mutterschafe und -ziegen,</w:t>
      </w:r>
    </w:p>
    <w:p>
      <w:pPr>
        <w:ind w:left="780"/>
      </w:pPr>
      <w:r>
        <w:t xml:space="preserve">f) die Zahlung für Mutterkühe,</w:t>
      </w:r>
    </w:p>
    <w:p>
      <w:pPr>
        <w:ind w:left="420"/>
      </w:pPr>
      <w:r>
        <w:t xml:space="preserve">2. für jeden geplanten Einheitsbetrag die Gesamtzahl der von den Ländern nach § 30 des GAP-Direktzahlungen-Gesetzes mitgeteilten Einheiten (begünstigungsfähige Einheiten),</w:t>
      </w:r>
    </w:p>
    <w:p>
      <w:pPr>
        <w:ind w:left="420"/>
      </w:pPr>
      <w:r>
        <w:t xml:space="preserve">3. die indikative Mittelzuweisung für jede in Nummer 1 genannte Direktzahlung und</w:t>
      </w:r>
    </w:p>
    <w:p>
      <w:pPr>
        <w:ind w:left="420"/>
      </w:pPr>
      <w:r>
        <w:t xml:space="preserve">4. die geplanten Höchsteinheitsbeträge und die geplanten Mindesteinheitsbeträge, soweit sie zu den geplanten Einheitsbeträgen zur Anwendung kommen.</w:t>
      </w:r>
    </w:p>
    <w:p>
      <w:r>
        <w:t xml:space="preserve">(4) Zur Berechnung der tatsächlichen Einheitsbeträge werden zunächst nach § 23 vorläufige Einheitsbeträge ermittelt.</w:t>
      </w:r>
    </w:p>
    <w:p>
      <w:r>
        <w:t xml:space="preserve">(5) Die nach § 23 ermittelten vorläufigen Einheitsbeträge werden, wenn und soweit die jeweils festgelegten Voraussetzungen vorliegen, vorbehaltlich des Absatzes 9 Satz 1, angepasst:</w:t>
      </w:r>
    </w:p>
    <w:p>
      <w:pPr>
        <w:ind w:left="420"/>
      </w:pPr>
      <w:r>
        <w:t xml:space="preserve">1. nach § 25 durch die Verwendung von Restmitteln und</w:t>
      </w:r>
    </w:p>
    <w:p>
      <w:pPr>
        <w:ind w:left="420"/>
      </w:pPr>
      <w:r>
        <w:t xml:space="preserve">2. nach § 26, wenn sich keine Restmittel ergeben oder die vorläufigen Einheitsbeträge nach der Verwendung der Restmittel weiterhin unter den geplanten Mindesteinheitsbeträgen oder im Fall der Öko-Regelungen unter den geplanten Einheitsbeträgen liegen.</w:t>
      </w:r>
    </w:p>
    <w:p>
      <w:r>
        <w:t xml:space="preserve">(6) Ein vorläufiger Einheitsbetrag nach § 23, der durch eine der in den §§ 25 und 26 festgelegten Anpassungen geändert worden ist, ist für die jeweils nachfolgende Anpassung mit dem geänderten Wert wiederum vorläufiger Einheitsbetrag.</w:t>
      </w:r>
    </w:p>
    <w:p>
      <w:r>
        <w:t xml:space="preserve">(7) Der Begriff Änderungsbetrag bezeichnet in den §§ 25 und 26 den Betrag, der sich ergibt, wenn der Unterschiedsbetrag zwischen einem vorläufigen Einheitsbetrag vor und nach einer Anpassung aufgrund des § 25 oder des § 26 mit der Anzahl der jeweils begünstigungsfähigen Einheiten multipliziert wird.</w:t>
      </w:r>
    </w:p>
    <w:p>
      <w:r>
        <w:t xml:space="preserve">(8) Der tatsächliche Einheitsbetrag ist, vorbehaltlich des Absatzes 9 Satz 2, der vorläufige Einheitsbetrag nach der letzten Anpassung aufgrund der §§ 25 und 26 oder, sofern sich keine Anpassungen ergeben, der vorläufige Einheitsbetrag nach § 23. Der so ermittelte Betrag ist auf die zweite Nachkommastelle abzurunden.</w:t>
      </w:r>
    </w:p>
    <w:p>
      <w:r>
        <w:t xml:space="preserve">(9) Abweichend von Absatz 5 unterliegen im Fall der Zahlung für Mutterschafe und -ziegen sowie der Zahlung für Mütterkühe die jeweiligen nach § 23 ermittelten vorläufigen Einheitsbeträge nicht den Anpassungen nach den §§ 25 und 26. Abweichend von Absatz 8 sind im Fall der Zahlung für Mutterschafe und -ziegen sowie der Zahlung für Mütterkühe die jeweiligen nach § 23 ermittelten vorläufigen Einheitsbeträge, abgerundet auf die zweite Nachkommastelle, die tatsächlichen Einheitsbeträge. § 24 bleibt unberührt.</w:t>
      </w:r>
    </w:p>
    <w:p>
      <w:r>
        <w:rPr>
          <w:color w:val="555555"/>
          <w:sz w:val="17"/>
        </w:rPr>
        <w:t xml:space="preserve">Zitiervorschlag: § 22 GAPDZV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https://recht.nulegal.eu/gesetze/GAPDZV/22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