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21a GAPDZV — Anpassung von nach dem GAP-Direktzahlungen-Gesetz geplanten Höchsteinheitsbeträgen für das Antragsjahr 2023</w:t>
      </w:r>
    </w:p>
    <w:p>
      <w:r>
        <w:rPr>
          <w:color w:val="555555"/>
          <w:sz w:val="18"/>
        </w:rPr>
        <w:t xml:space="preserve">GAP-Direktzahlungen-Verordnung</w:t>
      </w:r>
    </w:p>
    <w:p>
      <w:r>
        <w:rPr>
          <w:color w:val="555555"/>
          <w:sz w:val="18"/>
        </w:rPr>
        <w:t xml:space="preserve">Stand: 08.12.2023 (konsolidierte Textfassung, kein amtliches Inkrafttretensdatum)</w:t>
      </w:r>
    </w:p>
    <w:p>
      <w:r>
        <w:t xml:space="preserve">(1) Der in § 6 Absatz 5 des GAP-Direktzahlungen-Gesetzes festgelegte geplante Höchsteinheitsbetrag wird für das Antragsjahr 2023 auf 115 Prozent des geplanten Einheitsbetrags festgesetzt.</w:t>
      </w:r>
    </w:p>
    <w:p>
      <w:r>
        <w:t xml:space="preserve">(2) Der in § 10 Absatz 7 des GAP-Direktzahlungen-Gesetzes festgelegte geplante Höchsteinheitsbetrag wird für das Antragsjahr 2023 auf 115 Prozent des geplanten Einheitsbetrags festgesetzt.</w:t>
      </w:r>
    </w:p>
    <w:p>
      <w:r>
        <w:rPr>
          <w:color w:val="555555"/>
          <w:sz w:val="17"/>
        </w:rPr>
        <w:t xml:space="preserve">Zitiervorschlag: § 21a GAPDZV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https://recht.nulegal.eu/gesetze/GAPDZV/21a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