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GAPDZV — Mindestzahl von Tieren sowie Voraussetzungen für die Zahlung für Mutterkühe</w:t>
      </w:r>
    </w:p>
    <w:p>
      <w:r>
        <w:rPr>
          <w:color w:val="555555"/>
          <w:sz w:val="18"/>
        </w:rPr>
        <w:t xml:space="preserve">GAP-Direktzahlungen-Verordnung</w:t>
      </w:r>
    </w:p>
    <w:p>
      <w:r>
        <w:rPr>
          <w:color w:val="555555"/>
          <w:sz w:val="18"/>
        </w:rPr>
        <w:t xml:space="preserve">Stand: 01.01.2026 (konsolidierte Textfassung, kein amtliches Inkrafttretensdatum)</w:t>
      </w:r>
    </w:p>
    <w:p>
      <w:r>
        <w:t xml:space="preserve">(1) Die Zahlung für Mutterkühe ist für mindestens drei Mutterkühe zu beantragen.</w:t>
      </w:r>
    </w:p>
    <w:p>
      <w:r>
        <w:t xml:space="preserve">(2) Förderfähig sind weibliche Rinder,</w:t>
      </w:r>
    </w:p>
    <w:p>
      <w:pPr>
        <w:ind w:left="420"/>
      </w:pPr>
      <w:r>
        <w:t xml:space="preserve">1. die ausweislich der Angaben, die aufgrund von Rechtsvorschriften zur Kennzeichnung und Registrierung von Rindern oder aufgrund tierseuchenrechtlicher Vorschriften über die Anzeige und Registrierung von Betrieben erteilt worden sind, mindestens einmal gekalbt haben,</w:t>
      </w:r>
    </w:p>
    <w:p>
      <w:pPr>
        <w:ind w:left="420"/>
      </w:pPr>
      <w:r>
        <w:t xml:space="preserve">2. die während des Zeitraums vom 15. Mai des Jahres, für das die Zahlung beantragt wird, bis zum 15. August desselben Jahres (Haltungszeitraum) im Betrieb gehalten werden und</w:t>
      </w:r>
    </w:p>
    <w:p>
      <w:pPr>
        <w:ind w:left="420"/>
      </w:pPr>
      <w:r>
        <w:t xml:space="preserve">3. für die spätestens am letzten Tag des Haltungszeitraums die Pflichten zur Kennzeichnung und Registrierung von gehaltenen Rindern erfüllt sind nach</w:t>
      </w:r>
    </w:p>
    <w:p>
      <w:pPr>
        <w:ind w:left="780"/>
      </w:pPr>
      <w:r>
        <w:t xml:space="preserve">a) Teil IV Titel I Kapitel 2 Abschnitt 1 der Verordnung (EU) 2016/429,</w:t>
      </w:r>
    </w:p>
    <w:p>
      <w:pPr>
        <w:ind w:left="780"/>
      </w:pPr>
      <w:r>
        <w:t xml:space="preserve">b) den Rechtsakten der Europäischen Union, die im Rahmen der in Buchstabe a genannten Vorschriften und zu deren Durchführung erlassen worden sind oder werden, sowie</w:t>
      </w:r>
    </w:p>
    <w:p>
      <w:pPr>
        <w:ind w:left="780"/>
      </w:pPr>
      <w:r>
        <w:t xml:space="preserve">c) der Viehverkehrsverordnung.</w:t>
      </w:r>
    </w:p>
    <w:p>
      <w:r>
        <w:t xml:space="preserve">(3) Scheidet ein Tier im Haltungszeitraum aufgrund natürlicher Lebensumstände aus dem Bestand aus, ist die Anforderung des Absatzes 2 Nummer 2 gewahrt, wenn es unverzüglich nach dem Ausscheiden durch ein anderes förderfähiges Tier ersetzt wird.</w:t>
      </w:r>
    </w:p>
    <w:p>
      <w:r>
        <w:rPr>
          <w:color w:val="555555"/>
          <w:sz w:val="17"/>
        </w:rPr>
        <w:t xml:space="preserve">Zitiervorschlag: § 21 GAPDZV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https://recht.nulegal.eu/gesetze/GAPDZV/21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