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GAPDZV — Geplante Einheitsbeträge für die Zahlung für Mutterkühe</w:t>
      </w:r>
    </w:p>
    <w:p>
      <w:r>
        <w:rPr>
          <w:color w:val="555555"/>
          <w:sz w:val="18"/>
        </w:rPr>
        <w:t xml:space="preserve">GAP-Direktzahlungen-Verordnung</w:t>
      </w:r>
    </w:p>
    <w:p>
      <w:r>
        <w:rPr>
          <w:color w:val="555555"/>
          <w:sz w:val="18"/>
        </w:rPr>
        <w:t xml:space="preserve">Stand: 20.12.2022 (konsolidierte Textfassung, kein amtliches Inkrafttretensdatum)</w:t>
      </w:r>
    </w:p>
    <w:p>
      <w:r>
        <w:t xml:space="preserve">(1) Der geplante Einheitsbetrag je förderfähiger Mutterkuh und Antragsjahr ist in Anlage 7 festgesetzt.</w:t>
      </w:r>
    </w:p>
    <w:p>
      <w:r>
        <w:t xml:space="preserve">(2) Zu dem geplanten Einheitsbetrag kommt für jedes Antragsjahr ein geplanter Höchsteinheitsbetrag in Höhe von 110 Prozent des geplanten Einheitsbetrags und ein geplanter Mindesteinheitsbetrag in Höhe von 90 Prozent des geplanten Einheitsbetrags zur Anwendung.</w:t>
      </w:r>
    </w:p>
    <w:p>
      <w:r>
        <w:rPr>
          <w:color w:val="555555"/>
          <w:sz w:val="17"/>
        </w:rPr>
        <w:t xml:space="preserve">Zitiervorschlag: § 20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