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GAPDZV — Weitere Vorschriften für die Öko-Regelungen; Subdelegation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20.12.2022 (konsolidierte Textfassung, kein amtliches Inkrafttretensdatum)</w:t>
      </w:r>
    </w:p>
    <w:p>
      <w:r>
        <w:t xml:space="preserve">(1) Die Verpflichtungen, die bei den in § 20 Absatz 1 des GAP-Direktzahlungen-Gesetzes genannten Öko-Regelungen eingehalten werden müssen, und die jeweils begünstigungsfähige Fläche sind in Anlage 5 festgelegt.</w:t>
      </w:r>
    </w:p>
    <w:p>
      <w:r>
        <w:t xml:space="preserve">(2) Wenn in Anlage 5 die Begriffe landwirtschaftliche Fläche, Ackerland, Dauergrünland oder Dauerkulturen verwendet werden, sind die Landschaftselemente einbezogen, die zur jeweiligen förderfähigen Fläche gehören, soweit dort nichts anderes geregelt ist.</w:t>
      </w:r>
    </w:p>
    <w:p>
      <w:r>
        <w:t xml:space="preserve">(3) Die Landesregierungen haben durch Rechtsverordnung nach § 6 Absatz 1 Nummer 2 in Verbindung mit Absatz 5 Satz 1 des Marktorganisationsgesetzes für die in § 20 Absatz 1 Nummer 5 des GAP-Direktzahlungen-Gesetzes genannte Öko-Regelung festzulegen:</w:t>
      </w:r>
    </w:p>
    <w:p>
      <w:pPr>
        <w:ind w:left="420"/>
      </w:pPr>
      <w:r>
        <w:t xml:space="preserve">1. mindestens 20 regionaltypische Kennarten oder Kennartengruppen des artenreichen Grünlands und</w:t>
      </w:r>
    </w:p>
    <w:p>
      <w:pPr>
        <w:ind w:left="420"/>
      </w:pPr>
      <w:r>
        <w:t xml:space="preserve">2. die Methode zum Nachweis der Kennarten oder Kennartengruppen.</w:t>
      </w:r>
    </w:p>
    <w:p>
      <w:r>
        <w:t xml:space="preserve">(4) Die Landesregierungen können durch Rechtsverordnung nach § 6 Absatz 1 Nummer 2 in Verbindung mit Absatz 5 Satz 1 des Marktorganisationsgesetzes festlegen, dass bestimmte Flächen für die Öko-Regelungen nach § 20 Absatz 1 Nummer 1 Buchstabe a und b oder Buchstabe d, Nummer 3 oder Nummer 5 des GAP-Direktzahlungen-Gesetzes nicht in Betracht kommen, soweit dies erforderlich ist, um besonderen regionalen Gegebenheiten des Naturschutzes Rechnung zu tragen.</w:t>
      </w:r>
    </w:p>
    <w:p>
      <w:r>
        <w:t xml:space="preserve">(5) Den Landesregierungen wird die Befugnis übertragen, durch Rechtsverordnung nach § 6 Absatz 1 Nummer 2 in Verbindung mit Absatz 5 Satz 1 des Marktorganisationsgesetzes für die in § 20 Absatz 1 Nummer 1 Buchstaben b und c des GAP-Direktzahlungen-Gesetzes genannten Öko-Regelungen aus der Liste zulässiger Arten für Saatgutmischungen bei Blühstreifen oder -flächen aus Anhang 1 zu Anlage 5 bestimmte Arten zu streichen oder geeignete Arten festzulegen, sofern dies erforderlich ist, um besonderen regionalen agrarstrukturellen oder naturschutzfachlichen Gegebenheiten Rechnung zu tragen.</w:t>
      </w:r>
    </w:p>
    <w:p>
      <w:r>
        <w:rPr>
          <w:color w:val="555555"/>
          <w:sz w:val="17"/>
        </w:rPr>
        <w:t xml:space="preserve">Zitiervorschlag: § 17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