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GAPDZV — Geplante Einheitsbeträge für die Öko-Regelungen</w:t>
      </w:r>
    </w:p>
    <w:p>
      <w:r>
        <w:rPr>
          <w:color w:val="555555"/>
          <w:sz w:val="18"/>
        </w:rPr>
        <w:t xml:space="preserve">GAP-Direktzahlungen-Verordnung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 geplanten Einheitsbeträge je Hektar begünstigungsfähiger Fläche und Antragsjahr für die Öko-Regelungen, die in § 20 Absatz 1 des GAP-Direktzahlungen-Gesetzes genannt sind, sind in Anlage 4 festgesetzt.</w:t>
      </w:r>
    </w:p>
    <w:p>
      <w:r>
        <w:t xml:space="preserve">(2) Zu jedem geplanten Einheitsbetrag für eine Öko-Regelung kommt für jedes Antragsjahr ein geplanter Höchsteinheitsbetrag in Höhe von 110 Prozent des geplanten Einheitsbetrags zur Anwendung. Ein geplanter Mindesteinheitsbetrag kommt nicht zur Anwendung. Abweichend von Satz 1 kommt für die Antragsjahre 2023 und 2024 jeweils ein geplanter Höchsteinheitsbetrag von 130 Prozent des geplanten Einheitsbetrags zur Anwendung. Abweichend von Satz 1 kommt ab dem Antragsjahr 2025 jeweils ein geplanter Höchsteinheitsbetrag von 130 Prozent des geplanten Einheitsbetrags zur Anwendung.</w:t>
      </w:r>
    </w:p>
    <w:p>
      <w:r>
        <w:rPr>
          <w:color w:val="555555"/>
          <w:sz w:val="17"/>
        </w:rPr>
        <w:t xml:space="preserve">Zitiervorschlag: § 16 GAPDZV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https://recht.nulegal.eu/gesetze/GAPDZV/16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