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GAPDZV — Mittel für die Öko-Regelungen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(1) Die Beträge nach § 19 Absatz 1 des GAP-Direktzahlungen-Gesetzes werden für jedes der Jahre 2023 bis 2026 um einen Anrechnungsbetrag im Sinne des § 34 Absatz 3 des GAP-Direktzahlungen-Gesetzes in Höhe von 2 Prozent des Betrags verringert, der nach der in § 1 genannten Unionsregelung der Festsetzung der Zuweisung von Mitteln für Öko-Regelungen zugrunde zu legen ist.</w:t>
      </w:r>
    </w:p>
    <w:p>
      <w:r>
        <w:t xml:space="preserve">(2) Die indikative Mittelzuweisung für jede in § 20 Absatz 1 des GAP-Direktzahlungen-Gesetzes genannte Öko-Regelung ist für jedes der in Absatz 1 genannten Antragsjahre in Anlage 3 festgesetzt.</w:t>
      </w:r>
    </w:p>
    <w:p>
      <w:r>
        <w:rPr>
          <w:color w:val="555555"/>
          <w:sz w:val="17"/>
        </w:rPr>
        <w:t xml:space="preserve">Zitiervorschlag: § 15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