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GAPDZV — Junglandwirte-Einkommensstützung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01.02.2022 (konsolidierte Textfassung, kein amtliches Inkrafttretensdatum)</w:t>
      </w:r>
    </w:p>
    <w:p>
      <w:r>
        <w:t xml:space="preserve">Der in § 34 Absatz 2 des GAP-Direktzahlungen-Gesetzes genannte Faktor beträgt 0,9.</w:t>
      </w:r>
    </w:p>
    <w:p>
      <w:r>
        <w:rPr>
          <w:color w:val="555555"/>
          <w:sz w:val="17"/>
        </w:rPr>
        <w:t xml:space="preserve">Zitiervorschlag: § 14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