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GAPDZV — Verfügbarkeit der förderfähigen Flächen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Die förderfähigen Flächen müssen dem Betriebsinhaber an dem Tag zur Verfügung stehen, bis zu dem der Sammelantrag nach § 6 des GAP-Integriertes Verwaltungs- und Kontrollsystem-Gesetzes eingereicht werden kann.</w:t>
      </w:r>
    </w:p>
    <w:p>
      <w:r>
        <w:t xml:space="preserve">(2) Verfügen mehrere Betriebsinhaber gemeinsam über eine gemeinsam genutzte förderfähige Fläche, ist die Fläche von jedem dieser Betriebsinhaber bei Beantragung der Direktzahlungen entsprechend seinem Anteil zu berücksichtigen.</w:t>
      </w:r>
    </w:p>
    <w:p>
      <w:r>
        <w:rPr>
          <w:color w:val="555555"/>
          <w:sz w:val="17"/>
        </w:rPr>
        <w:t xml:space="preserve">Zitiervorschlag: § 13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