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GAPDZV — Förderfähige Fläche</w:t>
      </w:r>
    </w:p>
    <w:p>
      <w:r>
        <w:rPr>
          <w:color w:val="555555"/>
          <w:sz w:val="18"/>
        </w:rPr>
        <w:t xml:space="preserve">GAP-Direktzahlungen-Verordnung</w:t>
      </w:r>
    </w:p>
    <w:p>
      <w:r>
        <w:rPr>
          <w:color w:val="555555"/>
          <w:sz w:val="18"/>
        </w:rPr>
        <w:t xml:space="preserve">Stand: 01.01.2026 (konsolidierte Textfassung, kein amtliches Inkrafttretensdatum)</w:t>
      </w:r>
    </w:p>
    <w:p>
      <w:r>
        <w:t xml:space="preserve">(1) Der Begriff förderfähige Fläche umfasst vorbehaltlich des Absatzes 2 jede Fläche, die dem Betriebsinhaber in dem in § 13 Absatz 1 bezeichneten Zeitpunkt zur Verfügung steht und die jederzeit während des Kalenderjahres die Voraussetzungen einer der nachstehenden Nummern erfüllt:</w:t>
      </w:r>
    </w:p>
    <w:p>
      <w:pPr>
        <w:ind w:left="420"/>
      </w:pPr>
      <w:r>
        <w:t xml:space="preserve">1. landwirtschaftliche Fläche des Betriebs, die in dem Jahr, für das Direktzahlungen beantragt werden,</w:t>
      </w:r>
    </w:p>
    <w:p>
      <w:pPr>
        <w:ind w:left="780"/>
      </w:pPr>
      <w:r>
        <w:t xml:space="preserve">a) ausschließlich für eine landwirtschaftliche Tätigkeit genutzt wird oder</w:t>
      </w:r>
    </w:p>
    <w:p>
      <w:pPr>
        <w:ind w:left="780"/>
      </w:pPr>
      <w:r>
        <w:t xml:space="preserve">b) hauptsächlich für eine landwirtschaftliche Tätigkeit genutzt wird, wenn die Fläche auch für eine nichtlandwirtschaftliche Tätigkeit genutzt wird,</w:t>
      </w:r>
    </w:p>
    <w:p>
      <w:pPr>
        <w:ind w:left="420"/>
      </w:pPr>
      <w:r>
        <w:t xml:space="preserve">2. Fläche des Betriebs, die</w:t>
      </w:r>
    </w:p>
    <w:p>
      <w:pPr>
        <w:ind w:left="780"/>
      </w:pPr>
      <w:r>
        <w:t xml:space="preserve">a) Landschaftselemente beinhaltet, die im Rahmen von nach dem GAP-Konditionalitäten-Gesetz oder nach einer Rechtsverordnung auf Grund des GAP-Konditionalitäten-Gesetzes zu beachtenden GLÖZ-Standards nicht beseitigt werden dürfen,</w:t>
      </w:r>
    </w:p>
    <w:p>
      <w:pPr>
        <w:ind w:left="780"/>
      </w:pPr>
      <w:r>
        <w:t xml:space="preserve">b) andere als die von Buchstabe a umfassten Landschaftselemente bis zu einer Größe von 500 Quadratmetern je Landschaftselement umfasst, wenn diese anderen Landschaftselemente insgesamt höchstens 25 Prozent der Fläche der landwirtschaftlichen Parzelle einnehmen, wobei Landschaftselemente, die den von Buchstabe a erfassten Typen von Landschaftselementen entsprechen, nur berücksichtigt werden, wenn sie die für diese Landschaftselemente geltenden Mindestmaße unterschreiten, und</w:t>
      </w:r>
    </w:p>
    <w:p>
      <w:pPr>
        <w:ind w:left="420"/>
      </w:pPr>
      <w:r>
        <w:t xml:space="preserve">3. Fläche des Betriebs, für die ein Anspruch auf Zahlung der Einkommensgrundstützung nach § 4 des GAP-Direktzahlungen-Gesetzes oder im Rahmen der Basisprämienregelung nach Titel III der Verordnung (EU) Nr. 1307/2013 in der für den Zeitpunkt der Verpflichtung geltenden Fassung bestand und die keine förderfähige Fläche nach den Nummern 1 oder 2 ist:</w:t>
      </w:r>
    </w:p>
    <w:p>
      <w:pPr>
        <w:ind w:left="780"/>
      </w:pPr>
      <w:r>
        <w:t xml:space="preserve">a) infolge der Anwendung einer der folgenden Richtlinien auf diese Fläche:</w:t>
      </w:r>
    </w:p>
    <w:p>
      <w:pPr>
        <w:ind w:left="1140"/>
      </w:pPr>
      <w:r>
        <w:t xml:space="preserve">aa) der Richtlinie 92/43/EWG,</w:t>
      </w:r>
    </w:p>
    <w:p>
      <w:pPr>
        <w:ind w:left="1140"/>
      </w:pPr>
      <w:r>
        <w:t xml:space="preserve">bb) der Richtlinie 2000/60/EG oder</w:t>
      </w:r>
    </w:p>
    <w:p>
      <w:pPr>
        <w:ind w:left="1140"/>
      </w:pPr>
      <w:r>
        <w:t xml:space="preserve">cc) der Richtlinie 2009/147/EG,</w:t>
      </w:r>
    </w:p>
    <w:p>
      <w:pPr>
        <w:ind w:left="780"/>
      </w:pPr>
      <w:r>
        <w:t xml:space="preserve">b) infolge einer flächenbezogenen Maßnahme nach der in § 1 genannten Unionsregelung oder der ELER-Regelung, die nach dem ab dem Jahr 2023 geltenden Recht der Europäischen Union dem Integrierten Verwaltungs- und Kontrollsystem unterliegt und die Erzeugung von Erzeugnissen, die nicht in Anhang I des Vertrags über die Arbeitsweise der Europäischen Union aufgeführt sind, mittels Paludikultur erlaubt, oder einer nationalen Maßnahme zur Erhaltung der biologischen Vielfalt oder Verringerung der Treibhausgasemissionen, deren Voraussetzungen mit solchen flächenbezogenen Maßnahmen im Einklang stehen, wenn die flächenbezogene Maßnahme oder die nationale Maßnahme beiträgt zu einem oder mehreren der folgenden Ziele:</w:t>
      </w:r>
    </w:p>
    <w:p>
      <w:pPr>
        <w:ind w:left="1140"/>
      </w:pPr>
      <w:r>
        <w:t xml:space="preserve">aa) Klimaschutz und Anpassung an den Klimawandel, auch durch Verringerung der Treibhausgasemissionen und Verbesserung der Kohlenstoffbindung, sowie Förderung nachhaltiger Energie,</w:t>
      </w:r>
    </w:p>
    <w:p>
      <w:pPr>
        <w:ind w:left="1140"/>
      </w:pPr>
      <w:r>
        <w:t xml:space="preserve">bb) Förderung der nachhaltigen Entwicklung und der effizienten Bewirtschaftung natürlicher Ressourcen wie Wasser, Böden und Luft, auch durch Verringerung der Abhängigkeit von Chemikalien, sowie</w:t>
      </w:r>
    </w:p>
    <w:p>
      <w:pPr>
        <w:ind w:left="1140"/>
      </w:pPr>
      <w:r>
        <w:t xml:space="preserve">cc) Eindämmung und Umkehrung des Verlusts an biologischer Vielfalt, Verbesserung von Ökosystemleistungen und Erhaltung von Lebensräumen und Landschaften,</w:t>
      </w:r>
    </w:p>
    <w:p>
      <w:pPr>
        <w:ind w:left="780"/>
      </w:pPr>
      <w:r>
        <w:t xml:space="preserve">c) für die Laufzeit einer Aufforstungsverpflichtung des Betriebsinhabers</w:t>
      </w:r>
    </w:p>
    <w:p>
      <w:pPr>
        <w:ind w:left="1140"/>
      </w:pPr>
      <w:r>
        <w:t xml:space="preserve">aa) im Rahmen einer Maßnahme nach Artikel 31 der Verordnung (EG) Nr. 1257/1999 in der für den Zeitpunkt der Verpflichtung geltenden Fassung,</w:t>
      </w:r>
    </w:p>
    <w:p>
      <w:pPr>
        <w:ind w:left="1140"/>
      </w:pPr>
      <w:r>
        <w:t xml:space="preserve">bb) im Rahmen einer Maßnahme nach Artikel 43 der Verordnung (EG) Nr. 1698/2005 in der für den Zeitpunkt der Verpflichtung geltenden Fassung,</w:t>
      </w:r>
    </w:p>
    <w:p>
      <w:pPr>
        <w:ind w:left="1140"/>
      </w:pPr>
      <w:r>
        <w:t xml:space="preserve">cc) im Rahmen einer Maßnahme nach Artikel 22 der Verordnung (EU) Nr. 1305/2013 in der für den Zeitpunkt der Verpflichtung geltenden Fassung,</w:t>
      </w:r>
    </w:p>
    <w:p>
      <w:pPr>
        <w:ind w:left="1140"/>
      </w:pPr>
      <w:r>
        <w:t xml:space="preserve">dd) im Rahmen einer freiwilligen Umwelt-, Klima- oder anderen Bewirtschaftungsverpflichtung oder einer Unterstützung für Investitionen nach der ELER-Regelung in der für den Zeitpunkt der Verpflichtung geltenden Fassung oder</w:t>
      </w:r>
    </w:p>
    <w:p>
      <w:pPr>
        <w:ind w:left="1140"/>
      </w:pPr>
      <w:r>
        <w:t xml:space="preserve">ee) im Rahmen einer aus öffentlichen Mitteln finanzierten freiwilligen Maßnahme, die mit den in den Doppelbuchstaben bb bis dd genannten im Zeitpunkt der Verpflichtung jeweils geltenden Grundlage im Einklang steht oder</w:t>
      </w:r>
    </w:p>
    <w:p>
      <w:pPr>
        <w:ind w:left="780"/>
      </w:pPr>
      <w:r>
        <w:t xml:space="preserve">d) für die Laufzeit einer Stilllegungsverpflichtung des Betriebsinhabers</w:t>
      </w:r>
    </w:p>
    <w:p>
      <w:pPr>
        <w:ind w:left="1140"/>
      </w:pPr>
      <w:r>
        <w:t xml:space="preserve">aa) im Rahmen einer Agrarumweltmaßnahme nach den Artikeln 22 bis 24 der Verordnung (EG) Nr. 1257/1999 in der für den Zeitpunkt der Verpflichtung geltenden Fassung,</w:t>
      </w:r>
    </w:p>
    <w:p>
      <w:pPr>
        <w:ind w:left="1140"/>
      </w:pPr>
      <w:r>
        <w:t xml:space="preserve">bb) im Rahmen einer Agrarumweltmaßnahme nach Artikel 39 der Verordnung (EG) Nr. 1698/2005 in der für den Zeitpunkt der Verpflichtung geltenden Fassung,</w:t>
      </w:r>
    </w:p>
    <w:p>
      <w:pPr>
        <w:ind w:left="1140"/>
      </w:pPr>
      <w:r>
        <w:t xml:space="preserve">cc) im Rahmen einer Agrarumwelt- und Klimamaßnahme nach Artikel 28 der Verordnung (EU) Nr. 1305/2013 in der für den Zeitpunkt der Verpflichtung geltenden Fassung oder</w:t>
      </w:r>
    </w:p>
    <w:p>
      <w:pPr>
        <w:ind w:left="1140"/>
      </w:pPr>
      <w:r>
        <w:t xml:space="preserve">dd) im Rahmen einer freiwilligen Umwelt-, Klima- oder anderen Bewirtschaftungsverpflichtung nach der ELER-Regelung in der für den Zeitpunkt der Verpflichtung geltenden Fassung.</w:t>
      </w:r>
    </w:p>
    <w:p>
      <w:r>
        <w:t xml:space="preserve">(2) Eine zum Hanfanbau genutzte Fläche nach Absatz 1 Nummer 1 ist nur förderfähig, wenn</w:t>
      </w:r>
    </w:p>
    <w:p>
      <w:pPr>
        <w:ind w:left="420"/>
      </w:pPr>
      <w:r>
        <w:t xml:space="preserve">1. Saatgut einer Hanfsorte verwendet wird, die am 15. März des Antragsjahres im Gemeinsamen Sortenkatalog für landwirtschaftliche Pflanzenarten aufgeführt ist und nach Artikel 17 der Richtlinie 2002/53/EG durch die Europäische Kommission im Amtsblatt der Europäischen Union, Reihe C, veröffentlicht ist,</w:t>
      </w:r>
    </w:p>
    <w:p>
      <w:pPr>
        <w:ind w:left="420"/>
      </w:pPr>
      <w:r>
        <w:t xml:space="preserve">2. der Tetrahydrocannabinolgehalt der verwendeten Hanfsorte, ermittelt nach der Methode, deren Anwendung die in § 1 genannte Unionsregelung den Mitgliedstaaten der Europäischen Union für diesen Zweck vorschreibt, im Durchschnitt aller Proben der betreffenden Hanfsorte in zwei aufeinanderfolgenden Jahren nicht größer als 0,3 Prozent war und</w:t>
      </w:r>
    </w:p>
    <w:p>
      <w:pPr>
        <w:ind w:left="420"/>
      </w:pPr>
      <w:r>
        <w:t xml:space="preserve">3. das verwendete Saatgut zertifiziert ist</w:t>
      </w:r>
    </w:p>
    <w:p>
      <w:pPr>
        <w:ind w:left="780"/>
      </w:pPr>
      <w:r>
        <w:t xml:space="preserve">a) nach der Richtlinie 2002/57/EG oder</w:t>
      </w:r>
    </w:p>
    <w:p>
      <w:pPr>
        <w:ind w:left="780"/>
      </w:pPr>
      <w:r>
        <w:t xml:space="preserve">b) im Fall einer Erhaltungssorte nach Artikel 10 der Richtlinie 2008/62/EG.</w:t>
      </w:r>
    </w:p>
    <w:p>
      <w:r>
        <w:rPr>
          <w:color w:val="555555"/>
          <w:sz w:val="17"/>
        </w:rPr>
        <w:t xml:space="preserve">Zitiervorschlag: § 11 GAPDZV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https://recht.nulegal.eu/gesetze/GAPDZV/11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