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GAPDZV — Angaben nach § 33 Absatz 1 Satz 2 des GAP-Direktzahlungen-Gesetzes</w:t>
      </w:r>
    </w:p>
    <w:p>
      <w:r>
        <w:rPr>
          <w:color w:val="555555"/>
          <w:sz w:val="18"/>
        </w:rPr>
        <w:t xml:space="preserve">GAP-Direktzahlungen-Verordnung</w:t>
      </w:r>
    </w:p>
    <w:p>
      <w:r>
        <w:rPr>
          <w:color w:val="555555"/>
          <w:sz w:val="18"/>
        </w:rPr>
        <w:t xml:space="preserve">Stand: 20.12.2022 (konsolidierte Textfassung, kein amtliches Inkrafttretensdatum)</w:t>
      </w:r>
    </w:p>
    <w:p>
      <w:r>
        <w:t xml:space="preserve">Die §§ 3 bis 8 regeln horizontale Begriffsbestimmungen im Sinne des § 33 Absatz 1 Satz 1 des GAP-Direktzahlungen-Gesetzes. § 9 regelt einen Bestandteil einer horizontalen Begriffsbestimmung im Sinne des § 33 Absatz 1 Satz 1 des GAP-Direktzahlungen-Gesetzes.</w:t>
      </w:r>
    </w:p>
    <w:p>
      <w:r>
        <w:rPr>
          <w:color w:val="555555"/>
          <w:sz w:val="17"/>
        </w:rPr>
        <w:t xml:space="preserve">Zitiervorschlag: § 10 GAPDZV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https://recht.nulegal.eu/gesetze/GAPDZV/10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