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GAPDZV — Anwendungsbereich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01.02.2022 (konsolidierte Textfassung, kein amtliches Inkrafttretensdatum)</w:t>
      </w:r>
    </w:p>
    <w:p>
      <w:r>
        <w:t xml:space="preserve">Die Vorschriften dieser Verordnung gelten für die Durchführung des GAP-Direktzahlungen-Gesetzes und der in § 1 des GAP-Direktzahlungen-Gesetzes genannten Unionsregelung.</w:t>
      </w:r>
    </w:p>
    <w:p>
      <w:r>
        <w:rPr>
          <w:color w:val="555555"/>
          <w:sz w:val="17"/>
        </w:rPr>
        <w:t xml:space="preserve">Zitiervorschlag: § 1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