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7 GAPDZG — Tatsächlicher Einheitsbetrag für die Einkommensgrundstützung</w:t>
      </w:r>
    </w:p>
    <w:p>
      <w:r>
        <w:rPr>
          <w:color w:val="555555"/>
          <w:sz w:val="18"/>
        </w:rPr>
        <w:t xml:space="preserve">GAP-Direktzahlungen-Gesetz</w:t>
      </w:r>
    </w:p>
    <w:p>
      <w:r>
        <w:rPr>
          <w:color w:val="555555"/>
          <w:sz w:val="18"/>
        </w:rPr>
        <w:t xml:space="preserve">Stand: 17.12.2022 (konsolidierte Textfassung, kein amtliches Inkrafttretensdatum)</w:t>
      </w:r>
    </w:p>
    <w:p>
      <w:r>
        <w:t xml:space="preserve">Der tatsächliche Einheitsbetrag für die Einkommensgrundstützung ist der nach § 31 berechnete Betrag.</w:t>
      </w:r>
    </w:p>
    <w:p>
      <w:r>
        <w:rPr>
          <w:color w:val="555555"/>
          <w:sz w:val="17"/>
        </w:rPr>
        <w:t xml:space="preserve">Zitiervorschlag: § 7 GAPDZG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https://recht.nulegal.eu/gesetze/GAPDZG/7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