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GAPDZG — Einkommensgrundstützung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Ein Betriebsinhaber erhält jährlich auf Antrag eine Einkommensgrundstützung für Nachhaltigkeit (Einkommensgrundstützung).</w:t>
      </w:r>
    </w:p>
    <w:p>
      <w:r>
        <w:t xml:space="preserve">(2) Die Einkommensgrundstützung wird nicht auf der Grundlage von Zahlungsansprüchen gewährt.</w:t>
      </w:r>
    </w:p>
    <w:p>
      <w:r>
        <w:t xml:space="preserve">(3) Die Einkommensgrundstützung wird als bundeseinheitlicher Betrag je Hektar förderfähiger Fläche gewährt.</w:t>
      </w:r>
    </w:p>
    <w:p>
      <w:r>
        <w:rPr>
          <w:color w:val="555555"/>
          <w:sz w:val="17"/>
        </w:rPr>
        <w:t xml:space="preserve">Zitiervorschlag: § 4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