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GAPDZG — Bekanntmachung der tatsächlichen Einheitsbeträge</w:t>
      </w:r>
    </w:p>
    <w:p>
      <w:r>
        <w:rPr>
          <w:color w:val="555555"/>
          <w:sz w:val="18"/>
        </w:rPr>
        <w:t xml:space="preserve">GAP-Direktzahlungen-Gesetz</w:t>
      </w:r>
    </w:p>
    <w:p>
      <w:r>
        <w:rPr>
          <w:color w:val="555555"/>
          <w:sz w:val="18"/>
        </w:rPr>
        <w:t xml:space="preserve">Stand: 17.12.2022 (konsolidierte Textfassung, kein amtliches Inkrafttretensdatum)</w:t>
      </w:r>
    </w:p>
    <w:p>
      <w:r>
        <w:t xml:space="preserve">Das Bundesministerium für Ernährung und Landwirtschaft macht die tatsächlichen Einheitsbeträge, die sich für jedes Antragsjahr, beginnend mit dem Jahr 2023, ergeben, jeweils im Bundesanzeiger bekannt.</w:t>
      </w:r>
    </w:p>
    <w:p>
      <w:r>
        <w:rPr>
          <w:color w:val="555555"/>
          <w:sz w:val="17"/>
        </w:rPr>
        <w:t xml:space="preserve">Zitiervorschlag: § 32 GAPDZG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https://recht.nulegal.eu/gesetze/GAPDZG/32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