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GAPDZG — Festlegung der Öko-Regelungen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21.11.2024 (konsolidierte Textfassung, kein amtliches Inkrafttretensdatum)</w:t>
      </w:r>
    </w:p>
    <w:p>
      <w:r>
        <w:t xml:space="preserve">(1) Es werden mindestens folgende Öko-Regelungen angewendet:</w:t>
      </w:r>
    </w:p>
    <w:p>
      <w:pPr>
        <w:ind w:left="420"/>
      </w:pPr>
      <w:r>
        <w:t xml:space="preserve">1. eine Bereitstellung von Flächen zur Verbesserung der Biodiversität und Erhaltung von Lebensräumen durch:</w:t>
      </w:r>
    </w:p>
    <w:p>
      <w:pPr>
        <w:ind w:left="780"/>
      </w:pPr>
      <w:r>
        <w:t xml:space="preserve">a) nichtproduktive Flächen auf Ackerland über den sich aus oder auf Grund von § 11 des GAP-Konditionalitäten-Gesetzes ergebenden verpflichtenden Anteil hinaus,</w:t>
      </w:r>
    </w:p>
    <w:p>
      <w:pPr>
        <w:ind w:left="780"/>
      </w:pPr>
      <w:r>
        <w:t xml:space="preserve">b) Anlage von Blühstreifen oder -flächen auf Ackerland, das der Betriebsinhaber nach Buchstabe a bereitstellt,</w:t>
      </w:r>
    </w:p>
    <w:p>
      <w:pPr>
        <w:ind w:left="780"/>
      </w:pPr>
      <w:r>
        <w:t xml:space="preserve">c) Anlage von Blühstreifen oder -flächen in Dauerkulturen oder</w:t>
      </w:r>
    </w:p>
    <w:p>
      <w:pPr>
        <w:ind w:left="780"/>
      </w:pPr>
      <w:r>
        <w:t xml:space="preserve">d) Altgrasstreifen oder -flächen in Dauergrünland,</w:t>
      </w:r>
    </w:p>
    <w:p>
      <w:pPr>
        <w:ind w:left="420"/>
      </w:pPr>
      <w:r>
        <w:t xml:space="preserve">2. ein Anbau vielfältiger Kulturen mit mindestens fünf Hauptfruchtarten im Ackerbau einschließlich des Anbaus von Leguminosen mit einem Mindestanteil von 10 Prozent,</w:t>
      </w:r>
    </w:p>
    <w:p>
      <w:pPr>
        <w:ind w:left="420"/>
      </w:pPr>
      <w:r>
        <w:t xml:space="preserve">3. die Beibehaltung einer agroforstlichen Bewirtschaftungsweise auf Ackerland und Dauergrünland,</w:t>
      </w:r>
    </w:p>
    <w:p>
      <w:pPr>
        <w:ind w:left="420"/>
      </w:pPr>
      <w:r>
        <w:t xml:space="preserve">4. die Extensivierung des gesamten Dauergrünlands des Betriebs,</w:t>
      </w:r>
    </w:p>
    <w:p>
      <w:pPr>
        <w:ind w:left="420"/>
      </w:pPr>
      <w:r>
        <w:t xml:space="preserve">5. die ergebnisorientierte extensive Bewirtschaftung von Dauergrünlandflächen mit Nachweis von mindestens vier regionalen Kennarten,</w:t>
      </w:r>
    </w:p>
    <w:p>
      <w:pPr>
        <w:ind w:left="420"/>
      </w:pPr>
      <w:r>
        <w:t xml:space="preserve">6. die Bewirtschaftung von Acker- oder Dauerkulturflächen des Betriebes ohne Verwendung von chemisch-synthetischen Pflanzenschutzmitteln,</w:t>
      </w:r>
    </w:p>
    <w:p>
      <w:pPr>
        <w:ind w:left="420"/>
      </w:pPr>
      <w:r>
        <w:t xml:space="preserve">7. die Anwendung von durch die Schutzziele bestimmten Landbewirtschaftungsmethoden auf landwirtschaftlichen Flächen in Natura 2000-Gebieten.</w:t>
      </w:r>
    </w:p>
    <w:p>
      <w:r>
        <w:t xml:space="preserve">(2) In einer Rechtsverordnung auf Grund der in § 2 Satz 1 Nummer 1 bezeichneten Vorschriften erfolgen im Einvernehmen mit dem Bundesministerium für Umwelt, Naturschutz und nukleare Sicherheit:</w:t>
      </w:r>
    </w:p>
    <w:p>
      <w:pPr>
        <w:ind w:left="420"/>
      </w:pPr>
      <w:r>
        <w:t xml:space="preserve">1. die Regelung der bei den Öko-Regelungen nach Absatz 1 einzuhaltenden Verpflichtungen,</w:t>
      </w:r>
    </w:p>
    <w:p>
      <w:pPr>
        <w:ind w:left="420"/>
      </w:pPr>
      <w:r>
        <w:t xml:space="preserve">2. die Festsetzung der indikativen Mittelzuweisung für jede Öko-Regelung nach Absatz 1 und</w:t>
      </w:r>
    </w:p>
    <w:p>
      <w:pPr>
        <w:ind w:left="420"/>
      </w:pPr>
      <w:r>
        <w:t xml:space="preserve">3. die Festsetzung der geplanten Einheitsbeträge einschließlich der möglichen Festsetzung von geplanten Höchst- oder Mindestbeträgen oder beidem für die geplanten Einheitsbeträge jeder Öko-Regelung nach Absatz 1.</w:t>
      </w:r>
    </w:p>
    <w:p>
      <w:r>
        <w:t xml:space="preserve">(3) Abweichend von § 2 Satz 2 können in einer Rechtsverordnung auf Grund der in § 2 Satz 1 Nummer 1 bezeichneten Vorschriften im Einvernehmen mit dem Bundesministerium für Umwelt, Naturschutz und nukleare Sicherheit unter Beachtung des § 19 weitere Öko-Regelungen geregelt werden. Die Mittel nach § 19 Absatz 1 Satz 2 sind vorrangig für weitere Öko-Regelungen für Weidehaltung in milchviehhaltenden Betrieben und zur innerbetrieblichen Verteilung von landwirtschaftlichen Flächen, die zur Verbesserung der Biodiversität bereitgestellt werden, zu verwenden.</w:t>
      </w:r>
    </w:p>
    <w:p>
      <w:r>
        <w:t xml:space="preserve">(4) Das Bundesministerium für Ernährung und Landwirtschaft überprüft und evaluiert bis zum 31. Dezember 2024 die in diesem Gesetz vorgesehenen Instrumente zur Förderung von Umwelt, Klima und Tierwohl.</w:t>
      </w:r>
    </w:p>
    <w:p>
      <w:r>
        <w:rPr>
          <w:color w:val="555555"/>
          <w:sz w:val="17"/>
        </w:rPr>
        <w:t xml:space="preserve">Zitiervorschlag: § 20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