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GAPAusnV — Inkrafttreten</w:t>
      </w:r>
    </w:p>
    <w:p>
      <w:r>
        <w:rPr>
          <w:color w:val="555555"/>
          <w:sz w:val="18"/>
        </w:rPr>
        <w:t xml:space="preserve">GAP-Ausnahmen-Verordnung</w:t>
      </w:r>
    </w:p>
    <w:p>
      <w:r>
        <w:rPr>
          <w:color w:val="555555"/>
          <w:sz w:val="18"/>
        </w:rPr>
        <w:t xml:space="preserve">Stand: 22.12.2022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GAPAusnV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https://recht.nulegal.eu/gesetze/GAPAusnV/4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