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GAPAusnV — Aussetzung der Verpflichtung zum Fruchtwechsel auf Ackerland</w:t>
      </w:r>
    </w:p>
    <w:p>
      <w:r>
        <w:rPr>
          <w:color w:val="555555"/>
          <w:sz w:val="18"/>
        </w:rPr>
        <w:t xml:space="preserve">GAP-Ausnahmen-Verordnung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(1) Abweichend von § 18 der GAP-Konditionalitäten-Verordnung vom 7. Dezember 2022 (BGBl. I S. 2244) in der jeweils geltenden Fassung muss der Begünstigte für das Antragsjahr 2023 nicht die Pflicht zum jährlichen Wechsel der Hauptkultur einhalten.</w:t>
      </w:r>
    </w:p>
    <w:p>
      <w:r>
        <w:t xml:space="preserve">(2) Soweit nach § 18 der GAP-Konditionalitäten-Verordnung vorgesehen ist, dass auf einem Teil der Ackerflächen eines Betriebes ein Wechsel der Hauptkultur spätestens im dritten Jahr erfolgt, bleibt diese Pflicht von Absatz 1 unberührt.</w:t>
      </w:r>
    </w:p>
    <w:p>
      <w:r>
        <w:rPr>
          <w:color w:val="555555"/>
          <w:sz w:val="17"/>
        </w:rPr>
        <w:t xml:space="preserve">Zitiervorschlag: § 2 GAPAusnV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https://recht.nulegal.eu/gesetze/GAPAusnV/2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