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GAPAusnV — Anwendungsbereich</w:t>
      </w:r>
    </w:p>
    <w:p>
      <w:r>
        <w:rPr>
          <w:color w:val="555555"/>
          <w:sz w:val="18"/>
        </w:rPr>
        <w:t xml:space="preserve">GAP-Ausnahmen-Verordnung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Diese Verordnung dient der Durchführung der Durchführungsverordnung (EU) 2022/1317 der Kommission vom 27. Juli 2022 zur Ermöglichung von Ausnahmeregelungen von der Verordnung (EU) 2021/2115 des Europäischen Parlaments und des Rates hinsichtlich der Anwendung der Standards für den guten landwirtschaftlichen und ökologischen Zustand (GLÖZ-Standards) 7 und 8 für das Antragsjahr 2023 (ABl. L 199 vom 28.7.2022 S. 1) in der jeweils geltenden Fassung.</w:t>
      </w:r>
    </w:p>
    <w:p>
      <w:r>
        <w:rPr>
          <w:color w:val="555555"/>
          <w:sz w:val="17"/>
        </w:rPr>
        <w:t xml:space="preserve">Zitiervorschlag: § 1 GAPAusnV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https://recht.nulegal.eu/gesetze/GAPAusnV/1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