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GAPAusnV 2 — Inkrafttreten</w:t>
      </w:r>
    </w:p>
    <w:p>
      <w:r>
        <w:rPr>
          <w:color w:val="555555"/>
          <w:sz w:val="18"/>
        </w:rPr>
        <w:t xml:space="preserve">Zweite GAP-Ausnahme-Verordnung</w:t>
      </w:r>
    </w:p>
    <w:p>
      <w:r>
        <w:rPr>
          <w:color w:val="555555"/>
          <w:sz w:val="18"/>
        </w:rPr>
        <w:t xml:space="preserve">Stand: 23.04.2024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5 GAPAusnV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https://recht.nulegal.eu/gesetze/GAPAusnV%202/5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