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GAPAusnV 2 — Berücksichtigung bei Öko-Regelungen</w:t>
      </w:r>
    </w:p>
    <w:p>
      <w:r>
        <w:rPr>
          <w:color w:val="555555"/>
          <w:sz w:val="18"/>
        </w:rPr>
        <w:t xml:space="preserve">Zweite GAP-Ausnahme-Verordnung</w:t>
      </w:r>
    </w:p>
    <w:p>
      <w:r>
        <w:rPr>
          <w:color w:val="555555"/>
          <w:sz w:val="18"/>
        </w:rPr>
        <w:t xml:space="preserve">Stand: 23.04.2024 (konsolidierte Textfassung, kein amtliches Inkrafttretensdatum)</w:t>
      </w:r>
    </w:p>
    <w:p>
      <w:r>
        <w:t xml:space="preserve">Flächen, die von einem Betriebsinhaber zur Erfüllung der in § 2 Satz 1 Nummer 1 genannten Verpflichtung herangezogen werden und die Voraussetzungen hierfür erfüllen, sind für das Antragsjahr 2024 nicht nach Anlage 5 Nummer 2.1 der GAP-Direktzahlungen-Verordnung begünstigungsfähig für die Öko-Regelung nach § 20 Absatz 1 Nummer 2 des GAP-Direktzahlungen-Gesetzes. Für diese Flächen gelten für die Anwendung von Anlage 5 Nummer 2 der GAP-Direktzahlungen-Verordnung für das Antragsjahr 2024 die Bestimmungen für brachliegendes Ackerland.</w:t>
      </w:r>
    </w:p>
    <w:p>
      <w:r>
        <w:rPr>
          <w:color w:val="555555"/>
          <w:sz w:val="17"/>
        </w:rPr>
        <w:t xml:space="preserve">Zitiervorschlag: § 3 GAPAusnV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https://recht.nulegal.eu/gesetze/GAPAusnV%202/3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