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GAPAusnV 2 — Zusätzliche Anrechnungsmöglichkeit für Flächen mit stickstoffbindenden Pflanzen oder Zwischenfrüchten</w:t>
      </w:r>
    </w:p>
    <w:p>
      <w:r>
        <w:rPr>
          <w:color w:val="555555"/>
          <w:sz w:val="18"/>
        </w:rPr>
        <w:t xml:space="preserve">Zweite GAP-Ausnahme-Verordnung</w:t>
      </w:r>
    </w:p>
    <w:p>
      <w:r>
        <w:rPr>
          <w:color w:val="555555"/>
          <w:sz w:val="18"/>
        </w:rPr>
        <w:t xml:space="preserve">Stand: 23.04.2024 (konsolidierte Textfassung, kein amtliches Inkrafttretensdatum)</w:t>
      </w:r>
    </w:p>
    <w:p>
      <w:r>
        <w:t xml:space="preserve">Zur Erfüllung der Verpflichtung nach § 11 des GAP-Konditionalitäten-Gesetzes in Verbindung mit § 19 der GAP-Konditionalitäten-Verordnung können zusätzlich zu den Anrechnungsmöglichkeiten nach § 20 Absatz 1 der GAP-Konditionalitäten-Verordnung für das Antragsjahr 2024 Flächen angerechnet werden, die</w:t>
      </w:r>
    </w:p>
    <w:p>
      <w:pPr>
        <w:ind w:left="420"/>
      </w:pPr>
      <w:r>
        <w:t xml:space="preserve">1. für den Anbau von stickstoffbindenden Pflanzen als Hauptkultur oder</w:t>
      </w:r>
    </w:p>
    <w:p>
      <w:pPr>
        <w:ind w:left="420"/>
      </w:pPr>
      <w:r>
        <w:t xml:space="preserve">2. für den Anbau von Zwischenfrüchten</w:t>
      </w:r>
    </w:p>
    <w:p>
      <w:r>
        <w:t xml:space="preserve">genutzt werden. In allen Fällen des Satzes 1 dürfen Pflanzenschutzmittel nicht angewendet werden. In den Fällen des Satzes 1 Nummer 2 muss der nach guter fachlicher Praxis etablierte Bestand bis mindestens 31. Dezember des Antragsjahres auf der Fläche vorhanden sein.</w:t>
      </w:r>
    </w:p>
    <w:p>
      <w:r>
        <w:rPr>
          <w:color w:val="555555"/>
          <w:sz w:val="17"/>
        </w:rPr>
        <w:t xml:space="preserve">Zitiervorschlag: § 2 GAPAusnV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https://recht.nulegal.eu/gesetze/GAPAusnV%202/2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