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GAPAusnV 2 — Anwendungsbereich</w:t>
      </w:r>
    </w:p>
    <w:p>
      <w:r>
        <w:rPr>
          <w:color w:val="555555"/>
          <w:sz w:val="18"/>
        </w:rPr>
        <w:t xml:space="preserve">Zweite GAP-Ausnahme-Verordnung</w:t>
      </w:r>
    </w:p>
    <w:p>
      <w:r>
        <w:rPr>
          <w:color w:val="555555"/>
          <w:sz w:val="18"/>
        </w:rPr>
        <w:t xml:space="preserve">Stand: 23.04.2024 (konsolidierte Textfassung, kein amtliches Inkrafttretensdatum)</w:t>
      </w:r>
    </w:p>
    <w:p>
      <w:r>
        <w:t xml:space="preserve">Diese Verordnung dient der Durchführung der Durchführungsverordnung (EU) 2024/587 der Kommission vom 12. Februar 2024 zur Ermöglichung einer Ausnahmeregelung von der Verordnung (EU) 2021/2115 des Europäischen Parlaments und des Rates hinsichtlich der Anwendung des Standards für den guten landwirtschaftlichen und ökologischen Zustand (GLÖZ-Standard) Nr. 8, der Fristen für die Förderfähigkeit von Ausgaben im Rahmen des EGFL und der Vorschriften für Änderungen von GAP-Strategieplänen zur Änderung bestimmter Öko-Regelungen für das Antragsjahr 2024 (ABl. L, 2024/587, 13.2.2024) in der jeweils geltenden Fassung.</w:t>
      </w:r>
    </w:p>
    <w:p>
      <w:r>
        <w:rPr>
          <w:color w:val="555555"/>
          <w:sz w:val="17"/>
        </w:rPr>
        <w:t xml:space="preserve">Zitiervorschlag: § 1 GAPAusnV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https://recht.nulegal.eu/gesetze/GAPAusnV%202/1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