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GAP-ZV (Brandenburg) — Zuständigkeiten für die Konditionalität</w:t>
      </w:r>
    </w:p>
    <w:p>
      <w:r>
        <w:rPr>
          <w:color w:val="555555"/>
          <w:sz w:val="18"/>
        </w:rPr>
        <w:t xml:space="preserve">GAP-Zuständigkeitsverordnung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 für die Durchführung der Kontrolle der Einhaltung der Vorschriften zur Konditionalität nach Artikel 83 der Verordnung (EU) 2021/2116 in Verbindung mit der GAP-Konditionalitäten-Verordnung vom 7. Dezember 2022 (BGBl. I. S. 2244), die durch Artikel 1 des Gesetzes vom 9. Dezember 2022 (BGBl. I S. 2273) geändert worden ist, in der jeweils geltenden Fassung sind im Land Brandenburg die Landkreise und kreisfreien Städte. Für das Land Berlin ist das Landesamt für Ländliche Entwicklung, Landwirtschaft und Flurneuordnung zuständig, soweit die Absätze 2 und 3 nichts anderes bestimmen.</w:t>
      </w:r>
    </w:p>
    <w:p>
      <w:r>
        <w:t xml:space="preserve">(2) Zuständig für die Durchführung der Einhaltung der Vorschriften zur Konditionalität nach Artikel 83 Absatz 6 Buchstabe a der Verordnung (EU) 2021/2116 in Verbindung mit den in Anhang III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L 181 vom 7.7.2022, S. 35, L 227 vom 1.9.2022, S. 137), die durch die Delegierte Verordnung (EU) 2022/648 (ABl. L 119 vom 21.4.2022, S. 1) geändert worden ist, in der jeweils geltenden Fassung bestimmten Standards für den guten landwirtschaftlichen und ökologischen Zustand von Flächen (GLÖZ) und den Grundanforderungen an die Betriebsführung (GAB) mit den Nummern 3, 4, 7 und 8 ist das Landesamt für Ländliche Entwicklung, Landwirtschaft und Flurneuordnung.</w:t>
      </w:r>
    </w:p>
    <w:p>
      <w:r>
        <w:t xml:space="preserve">(3) Artikel 5 Absatz 2 des Landwirtschaftsstaatsvertrages vom 3. August 2020 (GVBl. I Nr. 25) bleibt unberührt.</w:t>
      </w:r>
    </w:p>
    <w:p>
      <w:r>
        <w:rPr>
          <w:color w:val="555555"/>
          <w:sz w:val="17"/>
        </w:rPr>
        <w:t xml:space="preserve">Zitiervorschlag: § 3 GAP-ZV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