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GADVDV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schriftlichen Teil des Auswahlverfahrens werden insbesondere die kognitiven Fähigkeiten geprüft.</w:t>
      </w:r>
    </w:p>
    <w:p>
      <w:r>
        <w:t xml:space="preserve">(2) Der schriftliche Teil besteht aus einem oder einer Kombination der folgenden Auswahlinstrumente:</w:t>
      </w:r>
    </w:p>
    <w:p>
      <w:pPr>
        <w:ind w:left="420"/>
      </w:pPr>
      <w:r>
        <w:t xml:space="preserve">1. eignungsdiagnostische Testverfahren,</w:t>
      </w:r>
    </w:p>
    <w:p>
      <w:pPr>
        <w:ind w:left="420"/>
      </w:pPr>
      <w:r>
        <w:t xml:space="preserve">2. allgemeine und fachspezifische Kenntnis- und Wissenstests,</w:t>
      </w:r>
    </w:p>
    <w:p>
      <w:pPr>
        <w:ind w:left="420"/>
      </w:pPr>
      <w:r>
        <w:t xml:space="preserve">3. Tests zu berufsbezogenen Persönlichkeitsmerkmalen und</w:t>
      </w:r>
    </w:p>
    <w:p>
      <w:pPr>
        <w:ind w:left="420"/>
      </w:pPr>
      <w:r>
        <w:t xml:space="preserve">4. Sprachprüfungen in der englischen und einer weiteren Sprache eines vom Auswärtigen Amt festgelegten Sprachenkanons.</w:t>
      </w:r>
    </w:p>
    <w:p>
      <w:r>
        <w:t xml:space="preserve">Bei Bedarf kann der schriftliche Teil durch weitere Auswahlinstrumente ergänzt werden.</w:t>
      </w:r>
    </w:p>
    <w:p>
      <w:r>
        <w:t xml:space="preserve">(3) Der schriftliche Teil ist bestanden, wenn die Bewerberin oder der Bewerber die nach der Bewertungs- und Gewichtungssystematik festgelegte Mindestpunktzahl für jeden Abschnitt erreicht hat oder, soweit vorgesehen, die Unterschreitung einer Mindestpunktzahl ausgleichen konnte.</w:t>
      </w:r>
    </w:p>
    <w:p>
      <w:r>
        <w:t xml:space="preserve">(4) Auf der Grundlage der Bewertungs- und Gewichtungssystematik wird eine Rangfolge der Bewerberinnen und Bewerber gebildet, die den schriftlichen Teil des Auswahlverfahrens bestanden haben.</w:t>
      </w:r>
    </w:p>
    <w:p>
      <w:r>
        <w:rPr>
          <w:color w:val="555555"/>
          <w:sz w:val="17"/>
        </w:rPr>
        <w:t xml:space="preserve">Zitiervorschlag: § 8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