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GADVDV — Ziel des Diplomkolloquiums</w:t>
      </w:r>
    </w:p>
    <w:p>
      <w:r>
        <w:rPr>
          <w:color w:val="555555"/>
          <w:sz w:val="18"/>
        </w:rPr>
        <w:t xml:space="preserve">Verordnung über den Vorbereitungsdienst für den gehobenen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Studierenden weisen im Diplomkolloquium nach, dass sie</w:t>
      </w:r>
    </w:p>
    <w:p>
      <w:pPr>
        <w:ind w:left="420"/>
      </w:pPr>
      <w:r>
        <w:t xml:space="preserve">1. über gesichertes Wissen in den Themengebieten verfügen, die sie in der Diplomarbeit bearbeitet haben,</w:t>
      </w:r>
    </w:p>
    <w:p>
      <w:pPr>
        <w:ind w:left="420"/>
      </w:pPr>
      <w:r>
        <w:t xml:space="preserve">2. die in der Diplomarbeit angewandten Methoden und erzielten Ergebnisse erläutern und begründen können und</w:t>
      </w:r>
    </w:p>
    <w:p>
      <w:pPr>
        <w:ind w:left="420"/>
      </w:pPr>
      <w:r>
        <w:t xml:space="preserve">3. in der Lage sind, mögliche Verbindungen zu anderen Fachgebieten und Fragestellungen herzustellen und sich mit diesen kritisch auseinanderzusetzen.</w:t>
      </w:r>
    </w:p>
    <w:p>
      <w:r>
        <w:rPr>
          <w:color w:val="555555"/>
          <w:sz w:val="17"/>
        </w:rPr>
        <w:t xml:space="preserve">Zitiervorschlag: § 48 GADVDV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https://recht.nulegal.eu/gesetze/GADVDV/48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