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GADVDV — Einstellungsvoraussetzungen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In den Vorbereitungsdienst kann eingestellt werden, wer</w:t>
      </w:r>
    </w:p>
    <w:p>
      <w:pPr>
        <w:ind w:left="420"/>
      </w:pPr>
      <w:r>
        <w:t xml:space="preserve">1. die allgemeinen beamtenrechtlichen Einstellungsvoraussetzungen erfüllt,</w:t>
      </w:r>
    </w:p>
    <w:p>
      <w:pPr>
        <w:ind w:left="420"/>
      </w:pPr>
      <w:r>
        <w:t xml:space="preserve">2. für die Aufgaben des gehobenen Auswärtigen Dienstes geeignet ist und dies durch erfolgreiche Teilnahme am Auswahlverfahren nach Abschnitt 2 nachgewiesen hat,</w:t>
      </w:r>
    </w:p>
    <w:p>
      <w:pPr>
        <w:ind w:left="420"/>
      </w:pPr>
      <w:r>
        <w:t xml:space="preserve">3. die Fachhochschulreife oder eine andere zu einem Hochschulstudium berechtigende Schulbildung oder einen hochschulrechtlich als gleichwertig anerkannten Bildungsstand besitzt, wobei Bewerberinnen und Bewerber mit einem Bildungsabschluss, der außerhalb des Geltungsbereichs der Bundeslaufbahnverordnung erworben wurde, eingestellt werden können, wenn die Gleichwertigkeit des Abschlusses anerkannt ist,</w:t>
      </w:r>
    </w:p>
    <w:p>
      <w:pPr>
        <w:ind w:left="420"/>
      </w:pPr>
      <w:r>
        <w:t xml:space="preserve">4. eine breite Allgemeinbildung hat und mit den wesentlichen politischen, wirtschaftlichen, sozialen und kulturellen Fragen der Gegenwart vertraut ist,</w:t>
      </w:r>
    </w:p>
    <w:p>
      <w:pPr>
        <w:ind w:left="420"/>
      </w:pPr>
      <w:r>
        <w:t xml:space="preserve">5. sich in der englischen und französischen Sprache oder, ersatzweise für Französisch, in einer anderen Sprache eines vom Auswärtigen Amt festgelegten Sprachkanons ausdrücken kann; wenn im Auswahlverfahren die französische Sprache durch eine andere Sprache eines vom Auswärtigen Amt festgelegten Sprachenkanons ersetzt wurde, bleibt das Erlernen der französischen Sprache dennoch verpflichtender Bestandteil des Vorbereitungsdienstes, und</w:t>
      </w:r>
    </w:p>
    <w:p>
      <w:pPr>
        <w:ind w:left="420"/>
      </w:pPr>
      <w:r>
        <w:t xml:space="preserve">6. durch ein Gesundheitszeugnis des Gesundheitsdienstes des Auswärtigen Amts, durch den oder in dessen Auftrag die Untersuchung durchgeführt wird, nachweist, gesundheitlich einschränkungslos für eine weltweite Verwendung geeignet zu sein.</w:t>
      </w:r>
    </w:p>
    <w:p>
      <w:r>
        <w:t xml:space="preserve">(2) Die Ehegattin oder der Ehegatte, die Lebenspartnerin oder der Lebenspartner und die Kinder müssen die Voraussetzungen nach Absatz 1 Nummer 6 ebenfalls erfüllen.</w:t>
      </w:r>
    </w:p>
    <w:p>
      <w:r>
        <w:rPr>
          <w:color w:val="555555"/>
          <w:sz w:val="17"/>
        </w:rPr>
        <w:t xml:space="preserve">Zitiervorschlag: § 3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