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GADVDV — Erholungsurlaub</w:t>
      </w:r>
    </w:p>
    <w:p>
      <w:r>
        <w:rPr>
          <w:color w:val="555555"/>
          <w:sz w:val="18"/>
        </w:rPr>
        <w:t xml:space="preserve">Verordnung über den Vorbereitungsdienst für den gehobenen Auswärtigen Dienst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Die Zeiten des Erholungsurlaubs bestimmt</w:t>
      </w:r>
    </w:p>
    <w:p>
      <w:pPr>
        <w:ind w:left="420"/>
      </w:pPr>
      <w:r>
        <w:t xml:space="preserve">1. während der fachtheoretischen Studienabschnitte der Fachbereich Auswärtige Angelegenheiten und</w:t>
      </w:r>
    </w:p>
    <w:p>
      <w:pPr>
        <w:ind w:left="420"/>
      </w:pPr>
      <w:r>
        <w:t xml:space="preserve">2. während der praxisintegrierenden Studienabschnitte die jeweilige Praxisstelle im Benehmen mit dem Fachbereich Auswärtige Angelegenheiten auf Antrag.</w:t>
      </w:r>
    </w:p>
    <w:p>
      <w:r>
        <w:rPr>
          <w:color w:val="555555"/>
          <w:sz w:val="17"/>
        </w:rPr>
        <w:t xml:space="preserve">Zitiervorschlag: § 20 GADVDV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https://recht.nulegal.eu/gesetze/GADVDV/20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