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GADVDV — Dauer und Aufbau des Studiums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Studium dauert in der Regel sechs Semester.</w:t>
      </w:r>
    </w:p>
    <w:p>
      <w:r>
        <w:t xml:space="preserve">(2) Das Studium gliedert sich in vier fachtheoretische und zwei praxisintegrierende Studienabschnitte. Die Studienabschnitte verteilen sich wie folgt auf die Semester:</w:t>
      </w:r>
    </w:p>
    <w:p>
      <w:r>
        <w:rPr>
          <w:rFonts w:ascii="Courier New" w:hAnsi="Courier New"/>
          <w:sz w:val="17"/>
        </w:rPr>
        <w:t xml:space="preserve">Semester    Studienabschnitt</w:t>
      </w:r>
    </w:p>
    <w:p>
      <w:r>
        <w:rPr>
          <w:rFonts w:ascii="Courier New" w:hAnsi="Courier New"/>
          <w:sz w:val="17"/>
        </w:rPr>
        <w:t xml:space="preserve">1. Semester    Fachtheoretischer Studienabschnitt I</w:t>
      </w:r>
    </w:p>
    <w:p>
      <w:r>
        <w:rPr>
          <w:rFonts w:ascii="Courier New" w:hAnsi="Courier New"/>
          <w:sz w:val="17"/>
        </w:rPr>
        <w:t xml:space="preserve">2. Semester    Praxisintegrierender Studienabschnitt I</w:t>
      </w:r>
    </w:p>
    <w:p>
      <w:r>
        <w:rPr>
          <w:rFonts w:ascii="Courier New" w:hAnsi="Courier New"/>
          <w:sz w:val="17"/>
        </w:rPr>
        <w:t xml:space="preserve">3. Semester    Fachtheoretischer Studienabschnitt II</w:t>
      </w:r>
    </w:p>
    <w:p>
      <w:r>
        <w:rPr>
          <w:rFonts w:ascii="Courier New" w:hAnsi="Courier New"/>
          <w:sz w:val="17"/>
        </w:rPr>
        <w:t xml:space="preserve">4. Semester    Fachtheoretischer Studienabschnitt III</w:t>
      </w:r>
    </w:p>
    <w:p>
      <w:r>
        <w:rPr>
          <w:rFonts w:ascii="Courier New" w:hAnsi="Courier New"/>
          <w:sz w:val="17"/>
        </w:rPr>
        <w:t xml:space="preserve">5. Semester    Praxisintegrierender Studienabschnitt II</w:t>
      </w:r>
    </w:p>
    <w:p>
      <w:r>
        <w:rPr>
          <w:rFonts w:ascii="Courier New" w:hAnsi="Courier New"/>
          <w:sz w:val="17"/>
        </w:rPr>
        <w:t xml:space="preserve">6. Semester    Fachtheoretischer Studienabschnitt IV</w:t>
      </w:r>
    </w:p>
    <w:p>
      <w:r>
        <w:t xml:space="preserve">(3) Die Dekanin oder der Dekan des Fachbereichs Auswärtige Angelegenheiten kann eine andere geeignete Hochschule mit der Durchführung des fachtheoretischen Studienabschnittes II beauftragen.</w:t>
      </w:r>
    </w:p>
    <w:p>
      <w:r>
        <w:t xml:space="preserve">(4) Das Studium hat einen Gesamtumfang von 180 Leistungspunkten nach dem Europäischen System zur Übertragung und Akkumulierung von Studienleistungen (ECTS-Leistungspunkte). Ein ECTS-Leistungspunkt entspricht einem Arbeitsaufwand von 30 Zeitstunden.</w:t>
      </w:r>
    </w:p>
    <w:p>
      <w:r>
        <w:t xml:space="preserve">(5) Das Studium kann auf bis zu 18 Monate verkürzt werden, wenn die Bewerberin oder der Bewerber</w:t>
      </w:r>
    </w:p>
    <w:p>
      <w:pPr>
        <w:ind w:left="420"/>
      </w:pPr>
      <w:r>
        <w:t xml:space="preserve">1. ein verwaltungsnahes duales Hochschulstudium mit einem Bachelor oder einem Diplomgrad mit dem Zusatz „Fachhochschule“ abgeschlossen hat oder</w:t>
      </w:r>
    </w:p>
    <w:p>
      <w:pPr>
        <w:ind w:left="420"/>
      </w:pPr>
      <w:r>
        <w:t xml:space="preserve">2. über einen Abschluss verfügt, der dem Abschluss nach Nummer 1 gleichwertig ist.</w:t>
      </w:r>
    </w:p>
    <w:p>
      <w:r>
        <w:t xml:space="preserve">Die Entscheidung über das Vorliegen der Voraussetzungen für eine Verkürzung trifft das Auswärtige Amt.</w:t>
      </w:r>
    </w:p>
    <w:p>
      <w:r>
        <w:rPr>
          <w:color w:val="555555"/>
          <w:sz w:val="17"/>
        </w:rPr>
        <w:t xml:space="preserve">Zitiervorschlag: § 14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