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GAD — Übergangsregelung</w:t>
      </w:r>
    </w:p>
    <w:p>
      <w:r>
        <w:rPr>
          <w:color w:val="555555"/>
          <w:sz w:val="18"/>
        </w:rPr>
        <w:t xml:space="preserve">Gesetz über den Auswärtigen Dienst</w:t>
      </w:r>
    </w:p>
    <w:p>
      <w:r>
        <w:rPr>
          <w:color w:val="555555"/>
          <w:sz w:val="18"/>
        </w:rPr>
        <w:t xml:space="preserve">Stand: 02.12.2019 (konsolidierte Textfassung, kein amtliches Inkrafttretensdatum)</w:t>
      </w:r>
    </w:p>
    <w:p>
      <w:r>
        <w:t xml:space="preserve">§ 5 Abs. 2 dieses Gesetzes ist nicht anzuwenden auf Beamte, denen vor dem 1. Januar 2003 Altersteilzeit bewilligt wurde.</w:t>
      </w:r>
    </w:p>
    <w:p>
      <w:r>
        <w:rPr>
          <w:color w:val="555555"/>
          <w:sz w:val="17"/>
        </w:rPr>
        <w:t xml:space="preserve">Zitiervorschlag: § 36 GAD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https://recht.nulegal.eu/gesetze/GAD/36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