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 GAD — Nichtentsandte Beschäftigte anderer Staatsangehörigkeit</w:t>
      </w:r>
    </w:p>
    <w:p>
      <w:r>
        <w:rPr>
          <w:color w:val="555555"/>
          <w:sz w:val="18"/>
        </w:rPr>
        <w:t xml:space="preserve">Gesetz über den Auswärtigen Dienst</w:t>
      </w:r>
    </w:p>
    <w:p>
      <w:r>
        <w:rPr>
          <w:color w:val="555555"/>
          <w:sz w:val="18"/>
        </w:rPr>
        <w:t xml:space="preserve">Stand: 02.12.2019 (konsolidierte Textfassung, kein amtliches Inkrafttretensdatum)</w:t>
      </w:r>
    </w:p>
    <w:p>
      <w:r>
        <w:t xml:space="preserve">Die Arbeitsverhältnisse nichtentsandter Beschäftigter, die nicht Deutsche sind, werden unter Berücksichtigung der Erfordernisse der Auslandsvertretungen sowie des Rechts im Gastland nach der Ortsüblichkeit gestaltet. Unter Berücksichtigung der örtlichen Verhältnisse werden angemessene soziale Bedingungen gewährleistet.</w:t>
      </w:r>
    </w:p>
    <w:p>
      <w:r>
        <w:rPr>
          <w:color w:val="555555"/>
          <w:sz w:val="17"/>
        </w:rPr>
        <w:t xml:space="preserve">Zitiervorschlag: § 33 GAD</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https://recht.nulegal.eu/gesetze/GAD/33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