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GAD — Auslandsumzüge und Auslandstrennungsgeld</w:t>
      </w:r>
    </w:p>
    <w:p>
      <w:r>
        <w:rPr>
          <w:color w:val="555555"/>
          <w:sz w:val="18"/>
        </w:rPr>
        <w:t xml:space="preserve">Gesetz über den Auswärtigen Dienst</w:t>
      </w:r>
    </w:p>
    <w:p>
      <w:r>
        <w:rPr>
          <w:color w:val="555555"/>
          <w:sz w:val="18"/>
        </w:rPr>
        <w:t xml:space="preserve">Stand: 27.06.2020 (konsolidierte Textfassung, kein amtliches Inkrafttretensdatum)</w:t>
      </w:r>
    </w:p>
    <w:p>
      <w:r>
        <w:t xml:space="preserve">Die für Auslandsumzüge und das Auslandstrennungsgeld erforderlichen Regelungen werden nach den Grundsätzen des Bundesumzugskostengesetzes und des Bundesreisekostengesetzes durch Rechtsverordnungen des Bundesministers des Auswärtigen im Einvernehmen mit dem Bundesminister der Finanzen und dem Bundesminister des Innern, für Bau und Heimat getroffen.</w:t>
      </w:r>
    </w:p>
    <w:p>
      <w:r>
        <w:rPr>
          <w:color w:val="555555"/>
          <w:sz w:val="17"/>
        </w:rPr>
        <w:t xml:space="preserve">Zitiervorschlag: § 28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