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GAD — Erkrankungen und Unfälle im Ausland</w:t>
      </w:r>
    </w:p>
    <w:p>
      <w:r>
        <w:rPr>
          <w:color w:val="555555"/>
          <w:sz w:val="18"/>
        </w:rPr>
        <w:t xml:space="preserve">Gesetz über den Auswärtigen Dienst</w:t>
      </w:r>
    </w:p>
    <w:p>
      <w:r>
        <w:rPr>
          <w:color w:val="555555"/>
          <w:sz w:val="18"/>
        </w:rPr>
        <w:t xml:space="preserve">Stand: 01.01.2024 (konsolidierte Textfassung, kein amtliches Inkrafttretensdatum)</w:t>
      </w:r>
    </w:p>
    <w:p>
      <w:r>
        <w:t xml:space="preserve">(1) In Krankheits-, Geburts- und Todesfällen, von denen der Beamte und seine Familienangehörigen im Ausland betroffen sind, werden dem Beamten Beihilfen gewährt, die den besonderen Verhältnissen des Auswärtigen Dienstes Rechnung tragen. Das Auswärtige Amt erläßt im Einvernehmen mit dem Bundesminister des Innern, für Bau und Heimat und dem Bundesminister der Finanzen besondere Verwaltungsvorschriften, soweit es die Besonderheiten des Auswärtigen Dienstes erfordern.</w:t>
      </w:r>
    </w:p>
    <w:p>
      <w:r>
        <w:t xml:space="preserve">(2) Dem Beamten kann Unfallfürsorge wie bei einem Dienstunfall auch dann gewährt werden, wenn eine Erkrankung oder deren Folgen auf gesundheitsschädigende oder sonst vom Inland wesentlich abweichende Verhältnisse zurückzuführen sind, denen der Beamte bei einem dienstlich angeordneten Auslandsaufenthalt besonders ausgesetzt war. Das Gleiche gilt für einen Unfall infolge derartiger Verhältnisse; als Unfall infolge derartiger Verhältnisse gilt auch ein Ereignis nach den §§ 13 und 14 des Vierzehnten Buches Sozialgesetzbuch. Der Schadensausgleich ist ausgeschlossen, wenn sich der Beamte grobfahrlässig der Gefährdung ausgesetzt hat, es sei denn, daß der Ausschluß für ihn eine unbillige Härte wäre. Ansprüche auf Grund des Beamtenversorgungsgesetzes bleiben unberührt. Näheres regeln Verwaltungsvorschriften, die das Auswärtige Amt im Einvernehmen mit dem Bundesminister des Innern, für Bau und Heimat und dem Bundesminister der Finanzen erläßt.</w:t>
      </w:r>
    </w:p>
    <w:p>
      <w:r>
        <w:rPr>
          <w:color w:val="555555"/>
          <w:sz w:val="17"/>
        </w:rPr>
        <w:t xml:space="preserve">Zitiervorschlag: § 16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