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G10 2001 — Schutz des Kernbereichs privater Lebensgestaltung</w:t>
      </w:r>
    </w:p>
    <w:p>
      <w:r>
        <w:rPr>
          <w:color w:val="555555"/>
          <w:sz w:val="18"/>
        </w:rPr>
        <w:t xml:space="preserve">Artikel 10-Gesetz</w:t>
      </w:r>
    </w:p>
    <w:p>
      <w:r>
        <w:rPr>
          <w:color w:val="555555"/>
          <w:sz w:val="18"/>
        </w:rPr>
        <w:t xml:space="preserve">Stand: 10.07.2021 (konsolidierte Textfassung, kein amtliches Inkrafttretensdatum)</w:t>
      </w:r>
    </w:p>
    <w:p>
      <w:r>
        <w:t xml:space="preserve">Durch Beschränkungen nach § 1 Abs. 1 Nr. 2 dürfen keine Kommunikationsinhalte aus dem Kernbereich privater Lebensgestaltung erfasst werden. Sind durch eine Beschränkung nach § 1 Abs. 1 Nr. 2 Kommunikationsinhalte aus dem Kernbereich privater Lebensgestaltung erfasst worden, dürfen diese nicht verwertet werden. Sie sind unverzüglich unter Aufsicht eines Bediensteten, der die Befähigung zum Richteramt hat, zu löschen. § 3a Absatz 1 Satz 2 bis 7 und Absatz 2 gilt entsprechend. Die Tatsache der Erfassung der Daten und ihrer Löschung ist zu protokollieren. Die Protokolldaten dürfen ausschließlich zum Zwecke der Durchführung der Datenschutzkontrolle verwendet werden. Sie sind sechs Monate nach der Mitteilung oder der Feststellung nach § 12 Absatz 2 zu löschen.</w:t>
      </w:r>
    </w:p>
    <w:p>
      <w:r>
        <w:rPr>
          <w:color w:val="555555"/>
          <w:sz w:val="17"/>
        </w:rPr>
        <w:t xml:space="preserve">Zitiervorschlag: § 5a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