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G10 2001 — Prüf-, Kennzeichnungs- und Löschungspflichten, Übermittlungen, Zweckbindung</w:t>
      </w:r>
    </w:p>
    <w:p>
      <w:r>
        <w:rPr>
          <w:color w:val="555555"/>
          <w:sz w:val="18"/>
        </w:rPr>
        <w:t xml:space="preserve">Artikel 10-Gesetz</w:t>
      </w:r>
    </w:p>
    <w:p>
      <w:r>
        <w:rPr>
          <w:color w:val="555555"/>
          <w:sz w:val="18"/>
        </w:rPr>
        <w:t xml:space="preserve">Stand: 06.01.2024 (konsolidierte Textfassung, kein amtliches Inkrafttretensdatum)</w:t>
      </w:r>
    </w:p>
    <w:p>
      <w:r>
        <w:t xml:space="preserve">(1) Die erhebende Stelle prüft unverzüglich und sodann in Abständen von höchstens sechs Monaten, ob die erhobenen personenbezogenen Daten im Rahmen ihrer Aufgaben allein oder zusammen mit bereits vorliegenden Daten für die in § 1 Abs. 1 Nr. 1 bestimmten Zwecke erforderlich sind. Soweit die Daten für diese Zwecke nicht erforderlich sind und nicht für eine Übermittlung an andere Stellen benötigt werden, sind sie unverzüglich unter Aufsicht eines Bediensteten, der die Befähigung zum Richteramt hat, zu löschen. Die Löschung ist zu protokollieren. Die Protokolldaten dürfen ausschließlich zur Durchführung der Datenschutzkontrolle verwendet werden. Die Protokolldaten sind am Ende des Kalenderjahres, das dem Jahr der Protokollierung folgt, zu löschen. Die Löschung der Daten unterbleibt, soweit die Daten für eine Mitteilung nach § 12 Abs. 1 oder für eine gerichtliche Nachprüfung der Rechtmäßigkeit der Beschränkungsmaßnahme von Bedeutung sein können. In diesem Fall ist die Verarbeitung der Daten einzuschränken; sie dürfen nur zu diesen Zwecken verwendet werden.</w:t>
      </w:r>
    </w:p>
    <w:p>
      <w:r>
        <w:t xml:space="preserve">(2) Die verbleibenden Daten sind zu kennzeichnen. Nach einer Übermittlung ist die Kennzeichnung durch den Empfänger aufrechtzuerhalten. Die Daten dürfen nur zu den in § 1 Abs. 1 Nr. 1 und den in Absatz 4 genannten Zwecken verwendet werden.</w:t>
      </w:r>
    </w:p>
    <w:p>
      <w:r>
        <w:t xml:space="preserve">(3) Der Behördenleiter oder sein Stellvertreter kann anordnen, dass bei der Übermittlung auf die Kennzeichnung verzichtet wird, wenn dies unerlässlich ist, um die Geheimhaltung einer Beschränkungsmaßnahme nicht zu gefährden, und die G 10-Kommission oder, soweit es sich um die Übermittlung durch eine Landesbehörde handelt, die nach Landesrecht zuständige Stelle zugestimmt hat. Bei Gefahr im Verzuge kann die Anordnung bereits vor der Zustimmung getroffen werden. Wird die Zustimmung versagt, ist die Kennzeichnung durch den Übermittlungsempfänger unverzüglich nachzuholen; die übermittelnde Behörde hat ihn hiervon zu unterrichten.</w:t>
      </w:r>
    </w:p>
    <w:p>
      <w:r>
        <w:t xml:space="preserve">(4) Die Daten dürfen an andere als die nach § 1 Absatz 1 Nummer 1 berechtigten Stellen nur übermittelt werden</w:t>
      </w:r>
    </w:p>
    <w:p>
      <w:pPr>
        <w:ind w:left="420"/>
      </w:pPr>
      <w:r>
        <w:t xml:space="preserve">1. zur Verhinderung oder Aufklärung von Straftaten, wenn</w:t>
      </w:r>
    </w:p>
    <w:p>
      <w:pPr>
        <w:ind w:left="780"/>
      </w:pPr>
      <w:r>
        <w:t xml:space="preserve">a) tatsächliche Anhaltspunkte für den Verdacht bestehen, dass jemand eine der in § 3 Abs. 1 und 1a genannten Straftaten plant oder begeht,</w:t>
      </w:r>
    </w:p>
    <w:p>
      <w:pPr>
        <w:ind w:left="780"/>
      </w:pPr>
      <w:r>
        <w:t xml:space="preserve">b) bestimmte Tatsachen den Verdacht begründen, dass jemand eine sonstige in § 7 Absatz 2 genannte Straftat plant oder begeht,</w:t>
      </w:r>
    </w:p>
    <w:p>
      <w:pPr>
        <w:ind w:left="420"/>
      </w:pPr>
      <w:r>
        <w:t xml:space="preserve">2. zur Verfolgung von Straftaten, wenn bestimmte Tatsachen den Verdacht begründen, dass jemand eine in Nummer 1 bezeichnete Straftat begeht oder begangen hat, oder</w:t>
      </w:r>
    </w:p>
    <w:p>
      <w:pPr>
        <w:ind w:left="420"/>
      </w:pPr>
      <w:r>
        <w:t xml:space="preserve">3. zur Vorbereitung und Durchführung eines Verfahrens nach Artikel 21 Abs. 2 Satz 2 des Grundgesetzes oder einer Maßnahme nach § 3 Abs. 1 Satz 1 des Vereinsgesetzes,</w:t>
      </w:r>
    </w:p>
    <w:p>
      <w:r>
        <w:t xml:space="preserve">soweit sie zur Erfüllung der Aufgaben des Empfängers erforderlich sind und in den Fällen der Nummern 1 und 2 daneben die Voraussetzungen der Vorschriften vorliegen, die Übermittlungen der übermittelnden Stelle für die Verhinderung, Aufklärung oder Verfolgung von Straftaten allgemein regeln.</w:t>
      </w:r>
    </w:p>
    <w:p>
      <w:r>
        <w:t xml:space="preserve">(5) Sind mit personenbezogenen Daten, die übermittelt werden dürfen, weitere Daten des Betroffenen oder eines Dritten in Akten so verbunden, dass eine Trennung nicht oder nur mit unvertretbarem Aufwand möglich ist, ist die Übermittlung auch dieser Daten zulässig; eine Verwendung dieser Daten ist unzulässig. Über die Übermittlung entscheidet ein Bediensteter der übermittelnden Stelle, der die Befähigung zum Richteramt hat. Die Übermittlung ist zu protokollieren.</w:t>
      </w:r>
    </w:p>
    <w:p>
      <w:r>
        <w:t xml:space="preserve">(6) Der Empfänger darf die übermittelten Daten nur für die Zwecke verwenden, zu deren Erfüllung sie ihm übermittelt worden sind. Er prüft unverzüglich und sodann in Abständen von höchstens sechs Monaten, ob die übermittelten Daten für diese Zwecke erforderlich sind. Absatz 1 Satz 2 und 3 gilt entsprechend. Der Empfänger unterrichtet die übermittelnde Stelle unverzüglich über die erfolgte Löschung.</w:t>
      </w:r>
    </w:p>
    <w:p>
      <w:r>
        <w:rPr>
          <w:color w:val="555555"/>
          <w:sz w:val="17"/>
        </w:rPr>
        <w:t xml:space="preserve">Zitiervorschlag: § 4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