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G10 2001 — Übergangsregelung</w:t>
      </w:r>
    </w:p>
    <w:p>
      <w:r>
        <w:rPr>
          <w:color w:val="555555"/>
          <w:sz w:val="18"/>
        </w:rPr>
        <w:t xml:space="preserve">Artikel 10-Gesetz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Bis zur Neubestellung der G 10-Kommission nach § 15 Absatz 1 Satz 4 ist</w:t>
      </w:r>
    </w:p>
    <w:p>
      <w:pPr>
        <w:ind w:left="420"/>
      </w:pPr>
      <w:r>
        <w:t xml:space="preserve">1. § 15 Absatz 1 Satz 1 und 2 und Absatz 6 in der bis zum 8. Juli 2021 geltenden Fassung weiter anzuwenden,</w:t>
      </w:r>
    </w:p>
    <w:p>
      <w:pPr>
        <w:ind w:left="420"/>
      </w:pPr>
      <w:r>
        <w:t xml:space="preserve">2. § 15a nicht anzuwenden.</w:t>
      </w:r>
    </w:p>
    <w:p>
      <w:r>
        <w:rPr>
          <w:color w:val="555555"/>
          <w:sz w:val="17"/>
        </w:rPr>
        <w:t xml:space="preserve">Zitiervorschlag: § 22 G10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https://recht.nulegal.eu/gesetze/G10%202001/22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