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G10 2001 — Pflichten der Anbieter von Post- und Telekommunikationsdiensten; Verordnungsermächtigung</w:t>
      </w:r>
    </w:p>
    <w:p>
      <w:r>
        <w:rPr>
          <w:color w:val="555555"/>
          <w:sz w:val="18"/>
        </w:rPr>
        <w:t xml:space="preserve">Artikel 10-Gesetz</w:t>
      </w:r>
    </w:p>
    <w:p>
      <w:r>
        <w:rPr>
          <w:color w:val="555555"/>
          <w:sz w:val="18"/>
        </w:rPr>
        <w:t xml:space="preserve">Stand: 16.01.2026 (konsolidierte Textfassung, kein amtliches Inkrafttretensdatum)</w:t>
      </w:r>
    </w:p>
    <w:p>
      <w:r>
        <w:t xml:space="preserve">(1) Wer geschäftsmäßig Postdienste erbringt oder an der Erbringung solcher Dienste mitwirkt, hat der berechtigten Stelle auf Anordnung Auskunft über die näheren Umstände des Postverkehrs zu erteilen und Sendungen, die ihm zum Einsammeln, Weiterleiten oder Ausliefern anvertraut sind, auszuhändigen. Der nach Satz 1 Verpflichtete hat der berechtigten Stelle auf Verlangen die zur Vorbereitung einer Anordnung erforderlichen Auskünfte zu Postfächern zu erteilen, ohne dass es hierzu einer gesonderten Anordnung bedarf.</w:t>
      </w:r>
    </w:p>
    <w:p>
      <w:r>
        <w:t xml:space="preserve">(1a) Wer geschäftsmäßig Telekommunikationsdienste erbringt oder an der Erbringung solcher Dienste mitwirkt, hat der berechtigten Stelle auf Anordnung</w:t>
      </w:r>
    </w:p>
    <w:p>
      <w:pPr>
        <w:ind w:left="420"/>
      </w:pPr>
      <w:r>
        <w:t xml:space="preserve">1. Auskunft über die näheren Umstände der nach Wirksamwerden der Anordnung durchgeführten Telekommunikation zu erteilen,</w:t>
      </w:r>
    </w:p>
    <w:p>
      <w:pPr>
        <w:ind w:left="420"/>
      </w:pPr>
      <w:r>
        <w:t xml:space="preserve">2. Inhalte, die ihm zur Übermittlung auf dem Telekommunikationsweg anvertraut sind, auszuleiten,</w:t>
      </w:r>
    </w:p>
    <w:p>
      <w:pPr>
        <w:ind w:left="420"/>
      </w:pPr>
      <w:r>
        <w:t xml:space="preserve">3. die Überwachung und Aufzeichnung der Telekommunikation zu ermöglichen, auch durch Zugangsgewährung zu seinen Einrichtungen während seiner üblichen Geschäftszeiten, sowie</w:t>
      </w:r>
    </w:p>
    <w:p>
      <w:pPr>
        <w:ind w:left="420"/>
      </w:pPr>
      <w:r>
        <w:t xml:space="preserve">4. die Einbringung von technischen Mitteln zur Durchführung einer Maßnahme nach § 11 Absatz 1a durch Unterstützung bei der Umleitung von Telekommunikation durch die berechtigte Stelle zu ermöglichen</w:t>
      </w:r>
    </w:p>
    <w:p>
      <w:pPr>
        <w:ind w:left="780"/>
      </w:pPr>
      <w:r>
        <w:t xml:space="preserve">a) durch Mitteilung der zur Erbringung in den umgeleiteten Datenstrom erforderlichen Informationen über die Strukturen der von ihm betriebenen Telekommunikationsnetze und Telekommunikationsanlagen sowie die von ihm erbrachten Telekommunikationsdienste;</w:t>
      </w:r>
    </w:p>
    <w:p>
      <w:pPr>
        <w:ind w:left="780"/>
      </w:pPr>
      <w:r>
        <w:t xml:space="preserve">b) durch sonstige Unterstützung bei der Umleitung einschließlich der Gewährung des Zugangs zu seinen Einrichtungen während seiner üblichen Geschäftszeiten sowie der Ermöglichung der Aufstellung und des Betriebs von Geräten für die Durchführung der Maßnahme.</w:t>
      </w:r>
    </w:p>
    <w:p>
      <w:r>
        <w:t xml:space="preserve">Das Nähere zur technischen und organisatorischen Umsetzung der Mitwirkungspflichten nach Satz 1 Nummer 1 bis 3 bestimmt sich nach § 170 des Telekommunikationsgesetzes und der dazu erlassenen Rechtsverordnung. In den Fällen des Satzes 1 Nummer 1 bleiben § 8a Absatz 1 Satz 1 Nummer 4 des Bundesverfassungsschutzgesetzes, § 4a des MAD-Gesetzes und § 3 des BND-Gesetzes unberührt. Satz 1 Nummer 4 Buchstabe b gilt nur für denjenigen, der eine Telekommunikationsanlage betreibt, mit der öffentlich zugängliche Internetzugangsdienste oder öffentlich zugängliche Dienste, die ganz oder überwiegend in der Übertragung von Signalen bestehen, erbracht werden.</w:t>
      </w:r>
    </w:p>
    <w:p>
      <w:r>
        <w:t xml:space="preserve">(1b) Das Bundesministerium des Innern, für Bau und Heimat wird ermächtigt, durch Rechtsverordnung im Einvernehmen mit dem Bundeskanzleramt, dem Bundesministerium für Wirtschaft und Energie, dem Bundesministerium für Verkehr und digitale Infrastruktur, dem Bundesministerium der Justiz und für Verbraucherschutz und dem Bundesministerium der Verteidigung mit Zustimmung des Bundesrates das Nähere zur technischen und organisatorischen Umsetzung der Mitwirkungspflichten nach Absatz 1a Satz 1 Nummer 4 zu bestimmen.</w:t>
      </w:r>
    </w:p>
    <w:p>
      <w:r>
        <w:t xml:space="preserve">(2) Der nach Absatz 1 oder Absatz 1a Verpflichtete hat vor Durchführung einer beabsichtigten Beschränkungsmaßnahme unverzüglich die Personen, die mit der Durchführung der Maßnahme betraut werden sollen,</w:t>
      </w:r>
    </w:p>
    <w:p>
      <w:pPr>
        <w:ind w:left="420"/>
      </w:pPr>
      <w:r>
        <w:t xml:space="preserve">1. auszuwählen,</w:t>
      </w:r>
    </w:p>
    <w:p>
      <w:pPr>
        <w:ind w:left="420"/>
      </w:pPr>
      <w:r>
        <w:t xml:space="preserve">2. einer einfachen Sicherheitsüberprüfung unterziehen zu lassen und</w:t>
      </w:r>
    </w:p>
    <w:p>
      <w:pPr>
        <w:ind w:left="420"/>
      </w:pPr>
      <w:r>
        <w:t xml:space="preserve">3. über Mitteilungsverbote nach § 17 sowie die Strafbarkeit eines Verstoßes nach § 18 zu belehren; die Belehrung ist aktenkundig zu machen.</w:t>
      </w:r>
    </w:p>
    <w:p>
      <w:r>
        <w:t xml:space="preserve">Der nach Absatz 1 Satz 1 oder Absatz 1a Satz 1 Verpflichtete hat sicherzustellen, dass in seinem Betrieb geeignetes Personal vorhanden ist, das dazu bereit ist, sich einer einfachen Sicherheitsüberprüfung nach Maßgabe des Satzes 1 Nummer 2 zu unterziehen. Mit der Durchführung einer Beschränkungsmaßnahme dürfen nur Personen betraut werden, die nach Maßgabe des Satzes 1 überprüft und belehrt worden sind. Nach Zustimmung des Bundesministeriums des Innern, für Bau und Heimat, bei Beschränkungsmaßnahmen einer Landesbehörde des zuständigen Landesministeriums, kann der Behördenleiter der berechtigten Stelle oder dessen Stellvertreter die nach Absatz 1 oder Absatz 1a Verpflichteten schriftlich auffordern, die Beschränkungsmaßnahme bereits vor Abschluss der Sicherheitsüberprüfung durchzuführen. Der nach Absatz 1 oder Absatz 1a Verpflichtete hat sicherzustellen, dass die Geheimschutzmaßnahmen zum Schutz als VS-NUR FÜR DEN DIENSTGEBRAUCH eingestufter Informationen gemäß der nach § 35 Absatz 1 des Sicherheitsüberprüfungsgesetzes zu erlassenden allgemeinen Verwaltungsvorschrift zum materiellen Geheimschutz in der jeweils geltenden Fassung getroffen werden.</w:t>
      </w:r>
    </w:p>
    <w:p>
      <w:r>
        <w:t xml:space="preserve">(3) Die Sicherheitsüberprüfung nach Absatz 2 Satz 1 Nr. 2 ist entsprechend dem Sicherheitsüberprüfungsgesetz durchzuführen. Für Beschränkungsmaßnahmen einer Landesbehörde gilt dies nicht, soweit Rechtsvorschriften des Landes vergleichbare Bestimmungen enthalten; in diesem Fall sind die Rechtsvorschriften des Landes entsprechend anzuwenden. Zuständig ist bei Beschränkungsmaßnahmen von Bundesbehörden das Bundesministerium des Innern, für Bau und Heimat; im Übrigen sind die nach Landesrecht bestimmten Behörden zuständig. Soll mit der Durchführung einer Beschränkungsmaßnahme eine Person betraut werden, für die innerhalb der letzten fünf Jahre bereits eine gleich- oder höherwertige Sicherheitsüberprüfung nach Bundes- oder Landesrecht durchgeführt worden ist, soll von einer erneuten Sicherheitsüberprüfung abgesehen werden.</w:t>
      </w:r>
    </w:p>
    <w:p>
      <w:r>
        <w:rPr>
          <w:color w:val="555555"/>
          <w:sz w:val="17"/>
        </w:rPr>
        <w:t xml:space="preserve">Zitiervorschlag: § 2 G10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https://recht.nulegal.eu/gesetze/G10%202001/2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