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15a G10 2001 — Eilanordnung</w:t>
      </w:r>
    </w:p>
    <w:p>
      <w:r>
        <w:rPr>
          <w:color w:val="555555"/>
          <w:sz w:val="18"/>
        </w:rPr>
        <w:t xml:space="preserve">Artikel 10-Gesetz</w:t>
      </w:r>
    </w:p>
    <w:p>
      <w:r>
        <w:rPr>
          <w:color w:val="555555"/>
          <w:sz w:val="18"/>
        </w:rPr>
        <w:t xml:space="preserve">Stand: 10.07.2021 (konsolidierte Textfassung, kein amtliches Inkrafttretensdatum)</w:t>
      </w:r>
    </w:p>
    <w:p>
      <w:r>
        <w:t xml:space="preserve">(1) Das zuständige Bundesministerium kann bei Gefahr im Verzug in der Anordnung bestimmen, dass die Beschränkungsmaßnahme abweichend von § 15 Absatz 6 Satz 2 auch bereits vor der Zustimmung der G 10-Kommission vollzogen werden darf (Eilanordnung).</w:t>
      </w:r>
    </w:p>
    <w:p>
      <w:r>
        <w:t xml:space="preserve">(2) Wird die Eilanordnung nicht innerhalb von drei Werktagen vom Vorsitzenden der G 10-Kommission, von seinem Stellvertreter oder einem vom Vorsitzenden dazu bestimmten Mitglied bestätigt, so ist unverzüglich</w:t>
      </w:r>
    </w:p>
    <w:p>
      <w:pPr>
        <w:ind w:left="420"/>
      </w:pPr>
      <w:r>
        <w:t xml:space="preserve">1. der Vollzug der Eilanordnung auszusetzen und</w:t>
      </w:r>
    </w:p>
    <w:p>
      <w:pPr>
        <w:ind w:left="420"/>
      </w:pPr>
      <w:r>
        <w:t xml:space="preserve">2. die Eilanordnung durch das zuständige Bundesministerium aufzuheben.</w:t>
      </w:r>
    </w:p>
    <w:p>
      <w:r>
        <w:t xml:space="preserve">Die mit der Beschränkungsmaßnahme erhobenen Daten sind zudem unverzüglich unter Aufsicht eines Beamten, der die Befähigung zum Richteramt hat, zu löschen; § 4 Absatz 1 Satz 3 bis 7 gilt entsprechend. Eine Bestätigung der Eilanordnung kann unter Auflagen erfolgen.</w:t>
      </w:r>
    </w:p>
    <w:p>
      <w:r>
        <w:t xml:space="preserve">(3) Wird die Eilanordnung bestätigt, so hat die G 10-Kommission die Zulässigkeit und die Notwendigkeit der durch die Eilanordnung angeordneten Beschränkungsmaßnahme unverzüglich zu prüfen. Erteilt die G 10-Kommission nach Prüfung der Zulässigkeit und Notwendigkeit ihre Zustimmung nicht, so ist die Beschränkungsmaßnahme vom zuständigen Bundesministerium unverzüglich aufzuheben und die mit der Beschränkungsmaßnahme erhobenen Daten sind unverzüglich unter Aufsicht eines Beamten, der die Befähigung zum Richteramt hat, zu löschen; § 4 Absatz 1 Satz 3 bis 7 gilt entsprechend.</w:t>
      </w:r>
    </w:p>
    <w:p>
      <w:r>
        <w:t xml:space="preserve">(4) Bei Gefahr im Verzug ist am Tag der Beantragung der Anordnung der Beschränkungsmaßnahme bereits vor der Anordnung durch das zuständige Bundesministerium eine automatische Aufzeichnung der zu überwachenden Telekommunikation durch die den Antrag stellende Behörde zulässig. Diese Aufzeichnung darf von der antragstellenden Behörde weiterverarbeitet werden, wenn eine Eilanordnung des zuständigen Bundesministeriums innerhalb von 24 Stunden nach Beantragung erfolgt. Anderenfalls ist die technische Aufzeichnung unverzüglich automatisiert zu löschen; § 4 Absatz 1 Satz 3 bis 7 gilt entsprechend.</w:t>
      </w:r>
    </w:p>
    <w:p>
      <w:r>
        <w:rPr>
          <w:color w:val="555555"/>
          <w:sz w:val="17"/>
        </w:rPr>
        <w:t xml:space="preserve">Zitiervorschlag: § 15a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https://recht.nulegal.eu/gesetze/G10%202001/15a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15a G10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