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G10 2001 — Parlamentarisches Kontrollgremium</w:t>
      </w:r>
    </w:p>
    <w:p>
      <w:r>
        <w:rPr>
          <w:color w:val="555555"/>
          <w:sz w:val="18"/>
        </w:rPr>
        <w:t xml:space="preserve">Artikel 10-Gesetz</w:t>
      </w:r>
    </w:p>
    <w:p>
      <w:r>
        <w:rPr>
          <w:color w:val="555555"/>
          <w:sz w:val="18"/>
        </w:rPr>
        <w:t xml:space="preserve">Stand: 10.07.2021 (konsolidierte Textfassung, kein amtliches Inkrafttretensdatum)</w:t>
      </w:r>
    </w:p>
    <w:p>
      <w:r>
        <w:t xml:space="preserve">(1) Das nach § 10 Abs. 1 für die Anordnung von Beschränkungsmaßnahmen zuständige Bundesministerium unterrichtet in Abständen von höchstens sechs Monaten das Parlamentarische Kontrollgremium über die Durchführung dieses Gesetzes. Dabei ist gesondert auf Anordnungen einzugehen, die nach § 11 Absatz 1a durchgeführt werden. Das Gremium erstattet dem Deutschen Bundestag jährlich einen Bericht über Durchführung sowie Art und Umfang der Maßnahmen nach den §§ 3, 5, 7a und 8; dabei sind die Grundsätze des § 10 Absatz 1 des Kontrollgremiumgesetzes zu beachten.</w:t>
      </w:r>
    </w:p>
    <w:p>
      <w:r>
        <w:t xml:space="preserve">(2) Bei Gefahr im Verzug kann das zuständige Bundesministerium die Bestimmungen nach den §§ 5 und 8 vorläufig treffen und das Parlamentarische Kontrollgremium durch seinen Vorsitzenden und dessen Stellvertreter vorläufig zustimmen. Die Zustimmung des Parlamentarischen Kontrollgremiums ist unverzüglich einzuholen. Die Bestimmung tritt außer Kraft, wenn die vorläufige Zustimmung nicht binnen drei Werktagen und die Zustimmung nicht binnen zwei Wochen erfolgt.</w:t>
      </w:r>
    </w:p>
    <w:p>
      <w:r>
        <w:rPr>
          <w:color w:val="555555"/>
          <w:sz w:val="17"/>
        </w:rPr>
        <w:t xml:space="preserve">Zitiervorschlag: § 14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