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G10 2001 — Anordnung</w:t>
      </w:r>
    </w:p>
    <w:p>
      <w:r>
        <w:rPr>
          <w:color w:val="555555"/>
          <w:sz w:val="18"/>
        </w:rPr>
        <w:t xml:space="preserve">Artikel 10-Gesetz</w:t>
      </w:r>
    </w:p>
    <w:p>
      <w:r>
        <w:rPr>
          <w:color w:val="555555"/>
          <w:sz w:val="18"/>
        </w:rPr>
        <w:t xml:space="preserve">Stand: 10.07.2021 (konsolidierte Textfassung, kein amtliches Inkrafttretensdatum)</w:t>
      </w:r>
    </w:p>
    <w:p>
      <w:r>
        <w:t xml:space="preserve">(1) Zuständig für die Anordnung von Beschränkungsmaßnahmen ist bei Anträgen der Verfassungsschutzbehörden der Länder die zuständige oberste Landesbehörde, im Übrigen das Bundesministerium des Innern, für Bau und Heimat.</w:t>
      </w:r>
    </w:p>
    <w:p>
      <w:r>
        <w:t xml:space="preserve">(2) Die Anordnung ergeht schriftlich. In ihr sind der Grund der Anordnung und die zur Überwachung berechtigte Stelle anzugeben sowie Art, Umfang und Dauer der Beschränkungsmaßnahme zu bestimmen.</w:t>
      </w:r>
    </w:p>
    <w:p>
      <w:r>
        <w:t xml:space="preserve">(3) In den Fällen des § 3 muss die Anordnung denjenigen bezeichnen, gegen den sich die Beschränkungsmaßnahme richtet. Bei einer Überwachung der Telekommunikation ist auch die Rufnummer oder eine andere Kennung des Telekommunikationsanschlusses oder die Kennung des Endgerätes, wenn diese allein diesem Endgerät zuzuordnen ist, anzugeben.</w:t>
      </w:r>
    </w:p>
    <w:p>
      <w:r>
        <w:t xml:space="preserve">(4) In den Fällen der §§ 5 und 8 sind die Suchbegriffe in der Anordnung zu benennen. Ferner sind das Gebiet, über das Informationen gesammelt werden sollen, und die Übertragungswege, die der Beschränkung unterliegen, zu bezeichnen. Weiterhin ist festzulegen, welcher Anteil der auf diesen Übertragungswegen zur Verfügung stehenden Übertragungskapazität überwacht werden darf. In den Fällen des § 5 darf dieser Anteil höchstens 20 vom Hundert betragen.</w:t>
      </w:r>
    </w:p>
    <w:p>
      <w:r>
        <w:t xml:space="preserve">(5) In den Fällen der §§ 3 und 5 ist die Anordnung auf höchstens drei Monate zu befristen. Verlängerungen um jeweils nicht mehr als drei weitere Monate sind auf Antrag zulässig, soweit die Voraussetzungen der Anordnung fortbestehen.</w:t>
      </w:r>
    </w:p>
    <w:p>
      <w:r>
        <w:t xml:space="preserve">(6) Die Anordnung ist dem nach § 2 Absatz 1 Satz 1 oder Absatz 1a Verpflichteten insoweit mitzuteilen, als dies erforderlich ist, um ihm die Erfüllung seiner Verpflichtungen zu ermöglichen. Die Mitteilung entfällt, wenn die Anordnung ohne seine Mitwirkung ausgeführt werden kann.</w:t>
      </w:r>
    </w:p>
    <w:p>
      <w:r>
        <w:t xml:space="preserve">(7) Das Bundesamt für Verfassungsschutz unterrichtet die jeweilige Landesbehörde für Verfassungsschutz über die in deren Bereich getroffenen Beschränkungsanordnungen. Die Landesbehörden für Verfassungsschutz teilen dem Bundesamt für Verfassungsschutz die in ihrem Bereich getroffenen Beschränkungsanordnungen mit.</w:t>
      </w:r>
    </w:p>
    <w:p>
      <w:r>
        <w:rPr>
          <w:color w:val="555555"/>
          <w:sz w:val="17"/>
        </w:rPr>
        <w:t xml:space="preserve">Zitiervorschlag: § 10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