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GüLogFachwPrV</w:t>
      </w:r>
    </w:p>
    <w:p>
      <w:r>
        <w:rPr>
          <w:color w:val="555555"/>
          <w:sz w:val="18"/>
        </w:rPr>
        <w:t xml:space="preserve">Verordnung über die Prüfung zum anerkannten Fortbildungsabschluss Geprüfter Fachwirt für Güterverkehr und Logistik und Geprüfte Fachwirtin für Güterverkehr und Logistik</w:t>
      </w:r>
    </w:p>
    <w:p>
      <w:r>
        <w:rPr>
          <w:color w:val="555555"/>
          <w:sz w:val="18"/>
        </w:rPr>
        <w:t xml:space="preserve">Historische Fassung: Stand 10.06.2019 bis 28.09.2023. Dies ist nicht die aktuelle Fassung.</w:t>
      </w:r>
    </w:p>
    <w:p>
      <w:r>
        <w:t xml:space="preserve">Auf Grund des § 53 Absatz 1 in Verbindung mit Absatz 2 und des § 30 Absatz 5 des Berufsbildungsgesetzes, von denen § 53 Absatz 1 durch Artikel 232 Nummer 3 Buchstabe a der Verordnung vom 31. Oktober 2006 (BGBl. I S. 2407) geändert worden ist,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GüLogFachwPrV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https://recht.nulegal.eu/gesetze/G%C3%BCLogFachwPrV/eingangsformel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