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GüLogFachwBAProFV — Inhalt und Gliederung der Prüfung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„Entwickeln und Vermarkten von Güterverkehrs- und Logistikdienstleistungen“ nach § 4,</w:t>
      </w:r>
    </w:p>
    <w:p>
      <w:pPr>
        <w:ind w:left="420"/>
      </w:pPr>
      <w:r>
        <w:t xml:space="preserve">2. „Erstellen von Güterverkehrs- und Logistikdienstleistungen“ nach § 5,</w:t>
      </w:r>
    </w:p>
    <w:p>
      <w:pPr>
        <w:ind w:left="420"/>
      </w:pPr>
      <w:r>
        <w:t xml:space="preserve">3. „Kommunikation, Führung und Zusammenarbeit sicherstellen“ nach § 6.</w:t>
      </w:r>
    </w:p>
    <w:p>
      <w:r>
        <w:rPr>
          <w:color w:val="555555"/>
          <w:sz w:val="17"/>
        </w:rPr>
        <w:t xml:space="preserve">Zitiervorschlag: § 3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