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GüLogFachwBAProFV — Befreiung von einzelnen Prüfungsbestandteilen</w:t>
      </w:r>
    </w:p>
    <w:p>
      <w:r>
        <w:rPr>
          <w:color w:val="555555"/>
          <w:sz w:val="18"/>
        </w:rPr>
        <w:t xml:space="preserve">Güterverkehr-und-Logistik-Fachwirt-Bachelor-Professional-Fortbildungsverordnung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10 und 11 außer Betracht. Für die übrigen Prüfungsbestandteile erhöhen sich die Anteile nach § 10 Absatz 2 oder Absatz 3 oder § 11 Absatz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12 GüLogFachwBAProFV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https://recht.nulegal.eu/gesetze/G%C3%BCLogFachwBAProFV/12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