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GüKGrKabotageV 2012 — Geltungsbereich der Drittstaatengenehmigung</w:t>
      </w:r>
    </w:p>
    <w:p>
      <w:r>
        <w:rPr>
          <w:color w:val="555555"/>
          <w:sz w:val="18"/>
        </w:rPr>
        <w:t xml:space="preserve">Verordnung über den grenzüberschreitenden Güterkraftverkehr und den Kabotageverkehr</w:t>
      </w:r>
    </w:p>
    <w:p>
      <w:r>
        <w:rPr>
          <w:color w:val="555555"/>
          <w:sz w:val="18"/>
        </w:rPr>
        <w:t xml:space="preserve">Stand: 14.03.2026 (konsolidierte Textfassung, kein amtliches Inkrafttretensdatum)</w:t>
      </w:r>
    </w:p>
    <w:p>
      <w:r>
        <w:t xml:space="preserve">Ein Unternehmer, dessen Unternehmen seinen Sitz nicht im Inland hat, muss Inhaber einer Drittstaatengenehmigung sein, wenn er im grenzüberschreitenden gewerblichen Güterkraftverkehr von oder nach einem oder durch einen Staat, der weder Mitglied der Europäischen Union noch anderer Vertragsstaat des Abkommens über den Europäischen Wirtschaftsraum ist, auf dem inländischen Streckenteil keine dafür erforderliche in § 5 Absatz 1 Nummer 1 bis 3 des Güterkraftverkehrsgesetzes genannte güterkraftverkehrsrechtliche Berechtigung verwendet.</w:t>
      </w:r>
    </w:p>
    <w:p>
      <w:r>
        <w:rPr>
          <w:color w:val="555555"/>
          <w:sz w:val="17"/>
        </w:rPr>
        <w:t xml:space="preserve">Zitiervorschlag: § 9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